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"/>
        <w:gridCol w:w="1437"/>
        <w:gridCol w:w="29"/>
        <w:gridCol w:w="154"/>
        <w:gridCol w:w="1758"/>
        <w:gridCol w:w="1939"/>
        <w:gridCol w:w="1091"/>
        <w:gridCol w:w="1506"/>
        <w:gridCol w:w="302"/>
        <w:gridCol w:w="474"/>
        <w:gridCol w:w="48"/>
        <w:gridCol w:w="428"/>
        <w:gridCol w:w="114"/>
      </w:tblGrid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28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24"/>
            </w:tblGrid>
            <w:tr w:rsidR="00B9180D" w:rsidRPr="003328C8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245C32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B38D5"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B38D5" w:rsidRPr="001B38D5" w:rsidRDefault="001B38D5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1B38D5" w:rsidP="001B38D5">
                  <w:pPr>
                    <w:jc w:val="center"/>
                    <w:rPr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155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3328C8" w:rsidTr="000A26AC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245C32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7147A5" wp14:editId="33D64BD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1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B9180D" w:rsidRPr="00112477" w:rsidTr="00842E9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1B38D5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т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>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B9180D" w:rsidRDefault="002F57F3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F27B10C" wp14:editId="70BFF991">
                        <wp:extent cx="10763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46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В. И. Бакайтис</w:t>
                  </w:r>
                </w:p>
                <w:p w:rsidR="001B38D5" w:rsidRPr="00331FCA" w:rsidRDefault="00197A39" w:rsidP="00D4072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112477" w:rsidTr="001B38D5">
        <w:trPr>
          <w:trHeight w:val="708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D40721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9B7306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D40721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CF7FAF" w:rsidP="00453AA0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06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1B38D5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1B38D5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9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B38D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2B6D" w:rsidRDefault="00B9180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1F2B6D" w:rsidRDefault="001F2B6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B38D5" w:rsidRPr="00331FCA" w:rsidRDefault="001B38D5" w:rsidP="001F2B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12477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3C45F7" w:rsidRPr="0093499B" w:rsidRDefault="003C45F7" w:rsidP="003C45F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112477">
                    <w:rPr>
                      <w:sz w:val="32"/>
                      <w:szCs w:val="32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  <w:p w:rsidR="003C45F7" w:rsidRPr="00331FCA" w:rsidRDefault="003C45F7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12477" w:rsidTr="001B38D5">
        <w:trPr>
          <w:trHeight w:val="402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B9180D" w:rsidP="001B38D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1200E2" w:rsidRDefault="00197A39" w:rsidP="00247E22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31FCA" w:rsidTr="001B38D5">
        <w:trPr>
          <w:trHeight w:val="18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62"/>
        <w:gridCol w:w="279"/>
        <w:gridCol w:w="47"/>
        <w:gridCol w:w="954"/>
        <w:gridCol w:w="3095"/>
        <w:gridCol w:w="2457"/>
        <w:gridCol w:w="47"/>
        <w:gridCol w:w="320"/>
        <w:gridCol w:w="47"/>
      </w:tblGrid>
      <w:tr w:rsidR="00B9180D" w:rsidRPr="00331FCA" w:rsidTr="00842E9F">
        <w:trPr>
          <w:trHeight w:val="1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11247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9B7306" w:rsidP="0058650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рограмма практики </w:t>
                  </w:r>
                  <w:r w:rsidR="001B38D5">
                    <w:rPr>
                      <w:i/>
                      <w:color w:val="000000"/>
                      <w:sz w:val="28"/>
                      <w:lang w:val="ru-RU"/>
                    </w:rPr>
                    <w:t xml:space="preserve">Преддипломная практика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1B38D5" w:rsidRPr="001B38D5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 xml:space="preserve">азом Министерства науки и высшего образования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Российской Федерации от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 xml:space="preserve">12 августа 2020г,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>985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112477" w:rsidTr="00842E9F">
        <w:trPr>
          <w:trHeight w:val="28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8"/>
            </w:tblGrid>
            <w:tr w:rsidR="00B9180D" w:rsidRPr="00331FCA" w:rsidTr="00842E9F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1B38D5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3"/>
            </w:tblGrid>
            <w:tr w:rsidR="00B9180D" w:rsidRPr="00112477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453AA0" w:rsidP="00453A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>офессор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F2B6D" w:rsidRPr="00A921C0" w:rsidRDefault="001F2B6D" w:rsidP="001F2B6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Миллер, канд. техн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  <w:r w:rsidR="00A921C0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:rsidR="001F2B6D" w:rsidRPr="00331FCA" w:rsidRDefault="001F2B6D" w:rsidP="00247E22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4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21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211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842E9F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9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8650B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112477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A74DA" w:rsidP="005A74D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Е.Б.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Табала, 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наук, доцент 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112477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11247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112477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112477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8650B" w:rsidRDefault="00B9180D" w:rsidP="00197A39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247E2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9A09DA" w:rsidRPr="00331FCA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D40721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2408" w:type="dxa"/>
            <w:gridSpan w:val="3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1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8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FF16D9" w:rsidRPr="00331FCA" w:rsidRDefault="00FF16D9">
      <w:pPr>
        <w:rPr>
          <w:lang w:val="ru-RU"/>
        </w:rPr>
      </w:pPr>
    </w:p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1F2B6D" w:rsidRPr="001F2B6D" w:rsidRDefault="00B9180D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lastRenderedPageBreak/>
        <w:t xml:space="preserve">ВИД ПРАКТИКИ, СПОСОБ И ФОРМА (ФОРМЫ) </w:t>
      </w:r>
    </w:p>
    <w:p w:rsidR="00B9180D" w:rsidRPr="001F2B6D" w:rsidRDefault="00B9180D" w:rsidP="001F2B6D">
      <w:pPr>
        <w:pStyle w:val="a9"/>
        <w:jc w:val="center"/>
        <w:rPr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t>ЕЕ ПРОВЕДЕНИЯ</w:t>
      </w:r>
    </w:p>
    <w:p w:rsidR="00B9180D" w:rsidRPr="00A61244" w:rsidRDefault="00B9180D">
      <w:pPr>
        <w:rPr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>Вид практики – производственная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Тип –</w:t>
      </w:r>
      <w:r w:rsidR="001D6491" w:rsidRPr="005A74DA">
        <w:rPr>
          <w:color w:val="000000"/>
          <w:sz w:val="28"/>
          <w:szCs w:val="28"/>
          <w:lang w:val="ru-RU"/>
        </w:rPr>
        <w:t xml:space="preserve"> </w:t>
      </w:r>
      <w:r w:rsidRPr="005A74DA">
        <w:rPr>
          <w:color w:val="000000"/>
          <w:sz w:val="28"/>
          <w:szCs w:val="28"/>
          <w:lang w:val="ru-RU"/>
        </w:rPr>
        <w:t>преддипломная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657FE0">
        <w:rPr>
          <w:color w:val="000000"/>
          <w:sz w:val="28"/>
          <w:szCs w:val="28"/>
          <w:lang w:val="ru-RU"/>
        </w:rPr>
        <w:t>–</w:t>
      </w:r>
      <w:r w:rsidRPr="005A74DA">
        <w:rPr>
          <w:color w:val="000000"/>
          <w:sz w:val="28"/>
          <w:szCs w:val="28"/>
          <w:lang w:val="ru-RU"/>
        </w:rPr>
        <w:t xml:space="preserve"> стационарная</w:t>
      </w:r>
      <w:r w:rsidR="00657FE0">
        <w:rPr>
          <w:color w:val="000000"/>
          <w:sz w:val="28"/>
          <w:szCs w:val="28"/>
          <w:lang w:val="ru-RU"/>
        </w:rPr>
        <w:t>, выездная.</w:t>
      </w:r>
    </w:p>
    <w:p w:rsidR="00B9180D" w:rsidRPr="00A61244" w:rsidRDefault="001D6491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Ф</w:t>
      </w:r>
      <w:r w:rsidR="00B9180D" w:rsidRPr="005A74DA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8650B">
        <w:rPr>
          <w:color w:val="000000"/>
          <w:sz w:val="28"/>
          <w:szCs w:val="28"/>
          <w:lang w:val="ru-RU"/>
        </w:rPr>
        <w:t>концентрированная</w:t>
      </w:r>
      <w:r w:rsidR="00453AA0" w:rsidRPr="005A74DA">
        <w:rPr>
          <w:color w:val="000000"/>
          <w:sz w:val="28"/>
          <w:szCs w:val="28"/>
          <w:lang w:val="ru-RU"/>
        </w:rPr>
        <w:t>.</w:t>
      </w:r>
    </w:p>
    <w:p w:rsidR="00453AA0" w:rsidRPr="00A61244" w:rsidRDefault="0058650B" w:rsidP="00CF7FAF">
      <w:pPr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4339B5" w:rsidRPr="008D500B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4339B5" w:rsidRDefault="004339B5" w:rsidP="00CF7FA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both"/>
        <w:rPr>
          <w:sz w:val="28"/>
          <w:szCs w:val="28"/>
          <w:lang w:val="ru-RU"/>
        </w:rPr>
      </w:pPr>
      <w:r w:rsidRPr="00A61244">
        <w:rPr>
          <w:sz w:val="28"/>
          <w:szCs w:val="28"/>
          <w:lang w:val="ru-RU"/>
        </w:rPr>
        <w:t>Цель</w:t>
      </w:r>
      <w:r w:rsidR="0058650B">
        <w:rPr>
          <w:sz w:val="28"/>
          <w:szCs w:val="28"/>
          <w:lang w:val="ru-RU"/>
        </w:rPr>
        <w:t xml:space="preserve"> практики</w:t>
      </w:r>
      <w:r w:rsidRPr="00A61244">
        <w:rPr>
          <w:sz w:val="28"/>
          <w:szCs w:val="28"/>
          <w:lang w:val="ru-RU"/>
        </w:rPr>
        <w:t xml:space="preserve"> - приобретение практич</w:t>
      </w:r>
      <w:r w:rsidR="0058650B">
        <w:rPr>
          <w:sz w:val="28"/>
          <w:szCs w:val="28"/>
          <w:lang w:val="ru-RU"/>
        </w:rPr>
        <w:t>еских и профессиональных умений</w:t>
      </w:r>
      <w:r w:rsidRPr="00A61244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A61244">
        <w:rPr>
          <w:sz w:val="28"/>
          <w:szCs w:val="28"/>
          <w:lang w:val="ru-RU"/>
        </w:rPr>
        <w:t>выполнения</w:t>
      </w:r>
      <w:r w:rsidRPr="00A61244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CF7FAF" w:rsidRPr="00C0509F" w:rsidRDefault="00C0509F" w:rsidP="00CF7FAF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0509F">
        <w:rPr>
          <w:sz w:val="28"/>
          <w:szCs w:val="28"/>
          <w:lang w:val="ru-RU"/>
        </w:rPr>
        <w:t>Освоение практики способствует подготовке выпускника к решению задач профессиональной деятельности следующих типов:</w:t>
      </w:r>
      <w:r>
        <w:rPr>
          <w:sz w:val="28"/>
          <w:szCs w:val="28"/>
          <w:lang w:val="ru-RU"/>
        </w:rPr>
        <w:t xml:space="preserve"> </w:t>
      </w:r>
      <w:r w:rsidRPr="00C0509F">
        <w:rPr>
          <w:sz w:val="28"/>
          <w:szCs w:val="28"/>
          <w:lang w:val="ru-RU"/>
        </w:rPr>
        <w:t>оценочно-аналитический</w:t>
      </w:r>
      <w:r>
        <w:rPr>
          <w:sz w:val="28"/>
          <w:szCs w:val="28"/>
          <w:lang w:val="ru-RU"/>
        </w:rPr>
        <w:t xml:space="preserve">; </w:t>
      </w:r>
      <w:r w:rsidRPr="00C0509F">
        <w:rPr>
          <w:sz w:val="28"/>
          <w:szCs w:val="28"/>
          <w:lang w:val="ru-RU"/>
        </w:rPr>
        <w:t>товароведно-технологический</w:t>
      </w:r>
      <w:r>
        <w:rPr>
          <w:sz w:val="28"/>
          <w:szCs w:val="28"/>
          <w:lang w:val="ru-RU"/>
        </w:rPr>
        <w:t>, а именно: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5A74DA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5A74DA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5A74DA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5A74DA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5A74DA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5A74DA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5A74DA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</w:t>
      </w:r>
      <w:r w:rsidR="00C0509F">
        <w:rPr>
          <w:rFonts w:eastAsia="Calibri"/>
          <w:sz w:val="28"/>
          <w:szCs w:val="28"/>
          <w:lang w:val="ru-RU"/>
        </w:rPr>
        <w:t>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приемки товаров по количеству, качеству и комплектности;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8" w:name="dst100091"/>
      <w:bookmarkEnd w:id="8"/>
      <w:r w:rsidRPr="005A74DA">
        <w:rPr>
          <w:rFonts w:eastAsia="Calibri"/>
          <w:sz w:val="28"/>
          <w:szCs w:val="28"/>
          <w:lang w:val="ru-RU"/>
        </w:rPr>
        <w:t>ведение оперативного учета товародвижения;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9" w:name="dst100092"/>
      <w:bookmarkEnd w:id="9"/>
      <w:r w:rsidRPr="005A74DA">
        <w:rPr>
          <w:rFonts w:eastAsia="Calibri"/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0" w:name="dst100093"/>
      <w:bookmarkEnd w:id="10"/>
      <w:r w:rsidRPr="005A74DA">
        <w:rPr>
          <w:rFonts w:eastAsia="Calibri"/>
          <w:sz w:val="28"/>
          <w:szCs w:val="28"/>
          <w:lang w:val="ru-RU"/>
        </w:rPr>
        <w:lastRenderedPageBreak/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1" w:name="dst100094"/>
      <w:bookmarkEnd w:id="11"/>
      <w:r w:rsidRPr="005A74DA">
        <w:rPr>
          <w:rFonts w:eastAsia="Calibri"/>
          <w:sz w:val="28"/>
          <w:szCs w:val="28"/>
          <w:lang w:val="ru-RU"/>
        </w:rPr>
        <w:t>контроль за сбытом товаров, анализ факторов, влияющих на сбыт,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2" w:name="dst100095"/>
      <w:bookmarkEnd w:id="12"/>
      <w:r w:rsidRPr="005A74DA">
        <w:rPr>
          <w:rFonts w:eastAsia="Calibri"/>
          <w:sz w:val="28"/>
          <w:szCs w:val="28"/>
          <w:lang w:val="ru-RU"/>
        </w:rPr>
        <w:t>контроль за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dst100096"/>
      <w:bookmarkEnd w:id="13"/>
      <w:r w:rsidRPr="005A74DA">
        <w:rPr>
          <w:rFonts w:eastAsia="Calibri"/>
          <w:sz w:val="28"/>
          <w:szCs w:val="28"/>
          <w:lang w:val="ru-RU"/>
        </w:rPr>
        <w:t>контроль за соблюдением правил торговли, правил товарного соседства и формирования товарных партий при транспортировании и хранении;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4" w:name="dst100097"/>
      <w:bookmarkEnd w:id="14"/>
      <w:r w:rsidRPr="005A74DA">
        <w:rPr>
          <w:rFonts w:eastAsia="Calibri"/>
          <w:sz w:val="28"/>
          <w:szCs w:val="28"/>
          <w:lang w:val="ru-RU"/>
        </w:rPr>
        <w:t>оптимизация основных технологических операций на этапах реализации товаров, управление процессами предреализационной подготовки товаров и утилизации отходов;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5" w:name="dst100098"/>
      <w:bookmarkEnd w:id="15"/>
      <w:r w:rsidRPr="005A74DA">
        <w:rPr>
          <w:rFonts w:eastAsia="Calibri"/>
          <w:sz w:val="28"/>
          <w:szCs w:val="28"/>
          <w:lang w:val="ru-RU"/>
        </w:rP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6" w:name="dst100099"/>
      <w:bookmarkEnd w:id="16"/>
      <w:r w:rsidRPr="005A74DA">
        <w:rPr>
          <w:rFonts w:eastAsia="Calibri"/>
          <w:sz w:val="28"/>
          <w:szCs w:val="28"/>
          <w:lang w:val="ru-RU"/>
        </w:rP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7" w:name="dst100100"/>
      <w:bookmarkEnd w:id="17"/>
      <w:r w:rsidRPr="005A74DA">
        <w:rPr>
          <w:rFonts w:eastAsia="Calibri"/>
          <w:sz w:val="28"/>
          <w:szCs w:val="28"/>
          <w:lang w:val="ru-RU"/>
        </w:rP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  <w:bookmarkStart w:id="18" w:name="dst100101"/>
      <w:bookmarkEnd w:id="18"/>
    </w:p>
    <w:p w:rsidR="00CF7FAF" w:rsidRPr="00CF7FAF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контроль над соблюдением санитарно-гигиенических</w:t>
      </w:r>
      <w:r w:rsidRPr="00CF7FAF">
        <w:rPr>
          <w:rFonts w:eastAsia="Calibri"/>
          <w:sz w:val="28"/>
          <w:szCs w:val="28"/>
          <w:lang w:val="ru-RU"/>
        </w:rPr>
        <w:t xml:space="preserve"> требований в торговом предприятии.</w:t>
      </w:r>
    </w:p>
    <w:p w:rsidR="00CF7FAF" w:rsidRPr="00CF7FAF" w:rsidRDefault="00CF7FAF" w:rsidP="00CF7FAF">
      <w:pPr>
        <w:tabs>
          <w:tab w:val="left" w:pos="1134"/>
        </w:tabs>
        <w:ind w:firstLine="709"/>
        <w:rPr>
          <w:color w:val="000000"/>
          <w:sz w:val="28"/>
          <w:szCs w:val="28"/>
          <w:lang w:val="ru-RU"/>
        </w:rPr>
      </w:pPr>
    </w:p>
    <w:p w:rsidR="00BE0E36" w:rsidRDefault="00BE0E36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518E" w:rsidRPr="001F2B6D" w:rsidRDefault="00657FE0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32"/>
          <w:lang w:val="ru-RU"/>
        </w:rPr>
      </w:pPr>
      <w:r>
        <w:rPr>
          <w:b/>
          <w:color w:val="000000"/>
          <w:sz w:val="32"/>
          <w:lang w:val="ru-RU"/>
        </w:rPr>
        <w:lastRenderedPageBreak/>
        <w:t>ПЛАНИРУЕМЫЕ РЕЗУЛЬТАТЫ</w:t>
      </w:r>
      <w:r w:rsidR="00C1518E" w:rsidRPr="001F2B6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1F2B6D" w:rsidRPr="001F2B6D" w:rsidRDefault="001F2B6D" w:rsidP="001F2B6D">
      <w:pPr>
        <w:jc w:val="center"/>
        <w:rPr>
          <w:color w:val="000000"/>
          <w:sz w:val="32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1F2B6D" w:rsidRPr="00112477" w:rsidTr="00447BE2">
        <w:trPr>
          <w:tblHeader/>
        </w:trPr>
        <w:tc>
          <w:tcPr>
            <w:tcW w:w="2660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977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8650B" w:rsidRPr="00112477" w:rsidTr="0058650B">
        <w:trPr>
          <w:trHeight w:val="4301"/>
        </w:trPr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8650B" w:rsidRPr="001F2B6D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8650B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УК2.1 При разработке и реализации проекта руководствуется Законодательством РФ, иными нормативными правовыми актами, методическими документами, </w:t>
            </w:r>
            <w:r w:rsidRPr="0058650B">
              <w:rPr>
                <w:bCs/>
                <w:iCs/>
                <w:lang w:val="ru-RU"/>
              </w:rPr>
              <w:lastRenderedPageBreak/>
              <w:t>регламентирующими профессиональную деятельность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-следовать этико-культурным и языковым нормам в деловой коммуникации, в том числе с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представителями различных культур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саморазвития в соответствии с личностными целями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экономики 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ценностное содержание экономической культуры и ее формирование на уровне государства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финансовой грамотности, как экономической категории;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базовую финансовую и экономическую терминологию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формировать экономическую позицию в обществе;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экономического и финансового планирования, используя финансовые инструменты для повышения собственного благополучия</w:t>
            </w:r>
          </w:p>
        </w:tc>
      </w:tr>
      <w:tr w:rsidR="002F57F3" w:rsidRPr="00112477" w:rsidTr="002F57F3">
        <w:tc>
          <w:tcPr>
            <w:tcW w:w="2660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УК-11</w:t>
            </w:r>
            <w:r w:rsidRPr="002F57F3">
              <w:rPr>
                <w:sz w:val="22"/>
                <w:szCs w:val="22"/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77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УК11</w:t>
            </w:r>
            <w:r w:rsidRPr="002F57F3">
              <w:rPr>
                <w:bCs/>
                <w:iCs/>
                <w:sz w:val="22"/>
                <w:szCs w:val="22"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Знает: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признаки коррупционного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Умеет: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выстраивать свою жизненную позицию, основанную на гражданских ценностях и социальной </w:t>
            </w:r>
            <w:r w:rsidRPr="002F57F3">
              <w:rPr>
                <w:color w:val="000000"/>
                <w:sz w:val="22"/>
                <w:szCs w:val="22"/>
                <w:lang w:val="ru-RU"/>
              </w:rPr>
              <w:lastRenderedPageBreak/>
              <w:t>справедливости;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коррупции, терроризма и экстремизма в обществе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ОПК-1. Способен применять естественнонаучные и экономические знания при решении профессиональных задач в области товароведения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ОПК-1.1 Предлагает решения профессиональных задач в области товароведения, используя знания естественнонаучных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ОПК-1.2 Предлагает решения профессиональных задач в области товароведения, используя знания экономических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ОПК-1.3 Способен осуществлять профессиональную деятельность на основе знаний естественнонаучных и экономических дисциплин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положения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оценивать факторы, влияющие на эффективность деятельности организации (предприятия)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 Способен использовать современные методы исследования, оценки и экспертизы товаров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порядок организации и проведения оценки качества и экспертизы товаров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методы оценки качества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и безопасности для выявления опасной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ОПК-4. Способен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ОПК-4.1 Принимает обоснованные организационно-управленческие решения в сфере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ОПК-4.2 Принимает обоснованные организационно-управленческие решения в сфере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ОПК-4.3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Pr="0058650B">
              <w:rPr>
                <w:bCs/>
                <w:iCs/>
                <w:lang w:val="ru-RU"/>
              </w:rPr>
              <w:t xml:space="preserve"> профессиональную деятельность на основе принятия обоснованных организационно-управленческих решений в сферах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ОПК-4.4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="00603556" w:rsidRPr="0058650B">
              <w:rPr>
                <w:bCs/>
                <w:iCs/>
                <w:lang w:val="ru-RU"/>
              </w:rPr>
              <w:t xml:space="preserve"> </w:t>
            </w:r>
            <w:r w:rsidRPr="0058650B">
              <w:rPr>
                <w:bCs/>
                <w:iCs/>
                <w:lang w:val="ru-RU"/>
              </w:rPr>
              <w:t>профессиональную деятельность на основе принятия обоснованных организационно-управленческих решений в сферах товарного менеджмента и экспертизы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  <w:tr w:rsidR="0058650B" w:rsidRPr="0011247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3969" w:type="dxa"/>
          </w:tcPr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-современные информационные технологии в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-сделать обоснованный выбор информационных технологий для решения профессиональных задач</w:t>
            </w:r>
          </w:p>
          <w:p w:rsidR="0058650B" w:rsidRPr="00C0509F" w:rsidRDefault="0058650B" w:rsidP="00C0509F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-назначение и функциональные возможности программного обеспечения для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b/>
                <w:color w:val="000000"/>
                <w:sz w:val="22"/>
                <w:szCs w:val="22"/>
                <w:lang w:val="ru-RU"/>
              </w:rPr>
              <w:t>Умеет: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br/>
              <w:t xml:space="preserve">-эффективно применять современные 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lastRenderedPageBreak/>
              <w:t>информационные технологии в профессиональной деятельности.</w:t>
            </w:r>
          </w:p>
        </w:tc>
      </w:tr>
      <w:tr w:rsidR="0058650B" w:rsidRPr="0011247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ПК-1- Способен осуществлять работы по подтверждению соответствия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 Способен проводить оценку и контроль качества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ПК-2.3 Владеет навыками проведения оценки и контроля качества продукции в соответствии с требованиями нормативно техническими документами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номенклатуру требований, установленных в нормативно-технической документации на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продукцией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 Способен анализировать информацию на разных этапах жизненного цикла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ПК-5.1 Проводит сбор и анализ данных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ПК-5.2 Обосновывает необходимость получения информации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ПК-5.3 Владеет способами обработки данных характеризующих продукцию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этапы жизненного цикла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факторы, формирующие и сохраняющие качество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информацию о продукции на разных этапах жизненного цикла</w:t>
            </w:r>
          </w:p>
        </w:tc>
      </w:tr>
    </w:tbl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4. МЕСТО ПРАКТИКИ В СТРУКТУРЕ ОБРАЗОВАТЕЛЬНОЙ ПРОГРАММЫ</w:t>
      </w:r>
    </w:p>
    <w:p w:rsidR="006C2DDC" w:rsidRPr="00A61244" w:rsidRDefault="006C2DDC" w:rsidP="006C2DDC">
      <w:pPr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D195B" w:rsidRDefault="000B5461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Преддипломная </w:t>
      </w:r>
      <w:r w:rsidRPr="000B5461">
        <w:rPr>
          <w:color w:val="000000"/>
          <w:sz w:val="28"/>
          <w:lang w:val="ru-RU"/>
        </w:rPr>
        <w:t>практика относится к обязательной части Блока 2 «Практика» структуры образовательной программы</w:t>
      </w:r>
      <w:r>
        <w:rPr>
          <w:color w:val="000000"/>
          <w:sz w:val="28"/>
          <w:lang w:val="ru-RU"/>
        </w:rPr>
        <w:t>.</w:t>
      </w:r>
      <w:r w:rsidRPr="000B5461">
        <w:rPr>
          <w:rFonts w:eastAsiaTheme="minorHAnsi"/>
          <w:sz w:val="28"/>
          <w:szCs w:val="28"/>
          <w:lang w:val="ru-RU"/>
        </w:rPr>
        <w:t xml:space="preserve"> </w:t>
      </w:r>
    </w:p>
    <w:p w:rsidR="003D1184" w:rsidRDefault="00C63692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/>
        </w:rPr>
      </w:pPr>
      <w:r w:rsidRPr="000B5461">
        <w:rPr>
          <w:rFonts w:eastAsiaTheme="minorHAnsi"/>
          <w:sz w:val="28"/>
          <w:szCs w:val="28"/>
          <w:lang w:val="ru-RU"/>
        </w:rPr>
        <w:t>Обучающиеся очной формы выходят на практику в 8 семестре,</w:t>
      </w:r>
      <w:r w:rsidR="000B5461">
        <w:rPr>
          <w:rFonts w:eastAsiaTheme="minorHAnsi"/>
          <w:sz w:val="28"/>
          <w:szCs w:val="28"/>
          <w:lang w:val="ru-RU"/>
        </w:rPr>
        <w:t xml:space="preserve"> </w:t>
      </w:r>
      <w:r w:rsidR="003D1184" w:rsidRPr="000B5461">
        <w:rPr>
          <w:rFonts w:eastAsiaTheme="minorHAnsi"/>
          <w:sz w:val="28"/>
          <w:szCs w:val="28"/>
          <w:lang w:val="ru-RU"/>
        </w:rPr>
        <w:t xml:space="preserve">очно-заочной формы </w:t>
      </w:r>
      <w:r w:rsidR="00BD195B">
        <w:rPr>
          <w:rFonts w:eastAsiaTheme="minorHAnsi"/>
          <w:sz w:val="28"/>
          <w:szCs w:val="28"/>
          <w:lang w:val="ru-RU"/>
        </w:rPr>
        <w:t xml:space="preserve">в 9 семестре, заочной на 5 курсе. </w:t>
      </w:r>
    </w:p>
    <w:p w:rsidR="002E3761" w:rsidRDefault="00C63692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61244">
        <w:rPr>
          <w:rFonts w:eastAsiaTheme="minorHAnsi"/>
          <w:sz w:val="28"/>
          <w:szCs w:val="28"/>
          <w:lang w:val="ru-RU"/>
        </w:rPr>
        <w:t>Практика базируется на знаниях и умениях, по</w:t>
      </w:r>
      <w:r w:rsidR="003D1184">
        <w:rPr>
          <w:rFonts w:eastAsiaTheme="minorHAnsi"/>
          <w:sz w:val="28"/>
          <w:szCs w:val="28"/>
          <w:lang w:val="ru-RU"/>
        </w:rPr>
        <w:t>лученных при изучении дисциплин обязательной</w:t>
      </w:r>
      <w:r w:rsidR="00BD195B">
        <w:rPr>
          <w:rFonts w:eastAsiaTheme="minorHAnsi"/>
          <w:sz w:val="28"/>
          <w:szCs w:val="28"/>
          <w:lang w:val="ru-RU"/>
        </w:rPr>
        <w:t xml:space="preserve"> части</w:t>
      </w:r>
      <w:r w:rsidR="003D1184">
        <w:rPr>
          <w:rFonts w:eastAsiaTheme="minorHAnsi"/>
          <w:sz w:val="28"/>
          <w:szCs w:val="28"/>
          <w:lang w:val="ru-RU"/>
        </w:rPr>
        <w:t xml:space="preserve"> и части,</w:t>
      </w:r>
      <w:r w:rsidR="00BD195B">
        <w:rPr>
          <w:rFonts w:eastAsiaTheme="minorHAnsi"/>
          <w:sz w:val="28"/>
          <w:szCs w:val="28"/>
          <w:lang w:val="ru-RU"/>
        </w:rPr>
        <w:t xml:space="preserve"> формируемой участниками образовательных отношений,</w:t>
      </w:r>
      <w:r w:rsidR="003D1184">
        <w:rPr>
          <w:rFonts w:eastAsiaTheme="minorHAnsi"/>
          <w:sz w:val="28"/>
          <w:szCs w:val="28"/>
          <w:lang w:val="ru-RU"/>
        </w:rPr>
        <w:t xml:space="preserve"> а также </w:t>
      </w:r>
      <w:r w:rsidR="002E3761" w:rsidRPr="00A61244">
        <w:rPr>
          <w:iCs/>
          <w:color w:val="000000"/>
          <w:sz w:val="28"/>
          <w:szCs w:val="28"/>
          <w:lang w:val="ru-RU" w:eastAsia="ru-RU"/>
        </w:rPr>
        <w:t xml:space="preserve">прохождении </w:t>
      </w:r>
      <w:r w:rsidR="003D1184">
        <w:rPr>
          <w:sz w:val="28"/>
          <w:szCs w:val="28"/>
          <w:lang w:val="ru-RU" w:eastAsia="ru-RU"/>
        </w:rPr>
        <w:t>ознакомительной и технологической (проектно-технологической) практики.</w:t>
      </w:r>
    </w:p>
    <w:p w:rsidR="003D1184" w:rsidRPr="00A61244" w:rsidRDefault="003D1184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Практика предшествует государственной итоговой аттестации (сдаче государственного экзамена и защите выпускной квалификационной работы).</w:t>
      </w:r>
    </w:p>
    <w:p w:rsidR="002E3761" w:rsidRPr="00A61244" w:rsidRDefault="002E3761" w:rsidP="00C6369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9A7B5D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9A7B5D">
        <w:rPr>
          <w:sz w:val="28"/>
          <w:szCs w:val="28"/>
          <w:lang w:val="ru-RU"/>
        </w:rPr>
        <w:t>– 6 недель</w:t>
      </w:r>
      <w:r w:rsidR="006C314C" w:rsidRPr="009A7B5D">
        <w:rPr>
          <w:sz w:val="28"/>
          <w:szCs w:val="28"/>
          <w:lang w:val="ru-RU"/>
        </w:rPr>
        <w:t>.</w:t>
      </w:r>
    </w:p>
    <w:p w:rsidR="00B9180D" w:rsidRPr="009A7B5D" w:rsidRDefault="006C2DDC">
      <w:pPr>
        <w:rPr>
          <w:sz w:val="28"/>
          <w:szCs w:val="28"/>
          <w:lang w:val="ru-RU"/>
        </w:rPr>
      </w:pPr>
      <w:r w:rsidRPr="009A7B5D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9A7B5D">
        <w:rPr>
          <w:sz w:val="28"/>
          <w:szCs w:val="28"/>
          <w:lang w:val="ru-RU"/>
        </w:rPr>
        <w:t>, 324 часа</w:t>
      </w:r>
    </w:p>
    <w:p w:rsidR="00B9180D" w:rsidRPr="009A7B5D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9A7B5D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Pr="009A7B5D" w:rsidRDefault="00A61244" w:rsidP="00A61244">
      <w:pPr>
        <w:jc w:val="center"/>
        <w:rPr>
          <w:b/>
          <w:sz w:val="28"/>
          <w:szCs w:val="28"/>
          <w:lang w:val="ru-RU"/>
        </w:rPr>
      </w:pPr>
      <w:r w:rsidRPr="009A7B5D">
        <w:rPr>
          <w:b/>
          <w:sz w:val="28"/>
          <w:szCs w:val="28"/>
          <w:lang w:val="ru-RU"/>
        </w:rPr>
        <w:lastRenderedPageBreak/>
        <w:t>График (план) прохождения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9A7B5D" w:rsidTr="00C0509F">
        <w:trPr>
          <w:tblHeader/>
        </w:trPr>
        <w:tc>
          <w:tcPr>
            <w:tcW w:w="654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5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0509F" w:rsidRPr="00C0509F" w:rsidRDefault="00C0509F" w:rsidP="00C0509F">
            <w:pPr>
              <w:jc w:val="center"/>
              <w:rPr>
                <w:sz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часов/</w:t>
            </w:r>
          </w:p>
          <w:p w:rsidR="00A61244" w:rsidRPr="00C0509F" w:rsidRDefault="00C0509F" w:rsidP="00C0509F">
            <w:pPr>
              <w:jc w:val="center"/>
              <w:rPr>
                <w:sz w:val="24"/>
                <w:szCs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9A7B5D" w:rsidTr="00CF7FAF">
        <w:tc>
          <w:tcPr>
            <w:tcW w:w="654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5" w:type="dxa"/>
            <w:vAlign w:val="center"/>
          </w:tcPr>
          <w:p w:rsidR="00F10AD2" w:rsidRPr="009A7B5D" w:rsidRDefault="00F10AD2" w:rsidP="00A61244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Подготовка документов, подтверждающих факт направления на практику; согласование 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0" w:type="dxa"/>
            <w:vAlign w:val="center"/>
          </w:tcPr>
          <w:p w:rsidR="00F10AD2" w:rsidRPr="009A7B5D" w:rsidRDefault="00CF7FAF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92" w:type="dxa"/>
            <w:vAlign w:val="center"/>
          </w:tcPr>
          <w:p w:rsidR="00F10AD2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C0509F">
            <w:pPr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306</w:t>
            </w:r>
            <w:r w:rsidR="00BD195B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9E540C" w:rsidRPr="009A7B5D" w:rsidRDefault="009E540C" w:rsidP="00CF7F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Выработка на основе проведенного исследования выводов и предложений; подготовка отчетной документации по итогам практики; оформление отчета по производственной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  <w:r w:rsidR="006C314C"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92" w:type="dxa"/>
            <w:vAlign w:val="center"/>
          </w:tcPr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6C2DDC" w:rsidRPr="00A61244" w:rsidRDefault="006C2DDC" w:rsidP="001D6491">
      <w:pPr>
        <w:rPr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</w:p>
    <w:p w:rsidR="00CF7FAF" w:rsidRDefault="00CF7FAF" w:rsidP="001D6491">
      <w:pPr>
        <w:jc w:val="center"/>
        <w:rPr>
          <w:b/>
          <w:color w:val="000000"/>
          <w:sz w:val="28"/>
          <w:szCs w:val="28"/>
          <w:lang w:val="ru-RU"/>
        </w:rPr>
      </w:pPr>
    </w:p>
    <w:p w:rsidR="001D6491" w:rsidRPr="00A61244" w:rsidRDefault="001D6491" w:rsidP="001D6491">
      <w:pPr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D40721" w:rsidRDefault="00D40721">
      <w:pPr>
        <w:spacing w:after="160" w:line="259" w:lineRule="auto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D40721" w:rsidRPr="00D40721" w:rsidRDefault="003D14E6" w:rsidP="003D14E6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D40721"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D40721" w:rsidRPr="00D40721" w:rsidRDefault="00D40721" w:rsidP="00D40721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D40721" w:rsidRPr="00D40721" w:rsidRDefault="00D40721" w:rsidP="00D40721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РАБОЧИЙ ГРАФИК И ИНДИВИДУАЛЬНОЕ ЗАДАНИЕ НА ПРАКТИКУ разрабатывает кафедра товароведения и экспертизы товаров  для каждого обучающегося индивидуально и выдает ему перед выходом на практику.</w:t>
      </w:r>
    </w:p>
    <w:p w:rsidR="00D40721" w:rsidRPr="00D40721" w:rsidRDefault="00D40721" w:rsidP="00D40721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 в приложении 6.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D40721" w:rsidRPr="00D40721" w:rsidRDefault="00D40721" w:rsidP="00D40721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D40721">
        <w:rPr>
          <w:rFonts w:eastAsia="Calibri"/>
          <w:b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D40721">
        <w:rPr>
          <w:rFonts w:eastAsia="Calibri"/>
          <w:sz w:val="28"/>
          <w:szCs w:val="28"/>
        </w:rPr>
        <w:t>Microsoft</w:t>
      </w:r>
      <w:r w:rsidRPr="00D40721">
        <w:rPr>
          <w:rFonts w:eastAsia="Calibri"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</w:rPr>
        <w:t>Word</w:t>
      </w:r>
      <w:r w:rsidRPr="00D40721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lastRenderedPageBreak/>
        <w:t xml:space="preserve">Титульный лист создается обучающимся в текстовом процессоре </w:t>
      </w:r>
      <w:r w:rsidRPr="00D40721">
        <w:rPr>
          <w:rFonts w:eastAsia="Calibri"/>
          <w:spacing w:val="-6"/>
          <w:sz w:val="28"/>
          <w:szCs w:val="28"/>
        </w:rPr>
        <w:t>M</w:t>
      </w:r>
      <w:r w:rsidRPr="00D40721">
        <w:rPr>
          <w:rFonts w:eastAsia="Calibri"/>
          <w:sz w:val="28"/>
          <w:szCs w:val="28"/>
        </w:rPr>
        <w:t>icrosoft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D40721">
        <w:rPr>
          <w:rFonts w:eastAsia="Calibri"/>
          <w:spacing w:val="-6"/>
          <w:sz w:val="28"/>
          <w:szCs w:val="28"/>
        </w:rPr>
        <w:t>Word</w:t>
      </w:r>
      <w:r w:rsidRPr="00D40721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D40721" w:rsidRPr="00D40721" w:rsidRDefault="00D40721" w:rsidP="00D40721">
      <w:pPr>
        <w:ind w:firstLine="709"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D40721" w:rsidRPr="00D40721" w:rsidRDefault="00D40721" w:rsidP="00D40721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D40721" w:rsidRPr="00D40721" w:rsidRDefault="00D40721" w:rsidP="00D40721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D40721" w:rsidRPr="00D40721" w:rsidRDefault="00D40721" w:rsidP="00D40721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D40721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D40721" w:rsidRPr="00D40721" w:rsidRDefault="00D40721" w:rsidP="003D14E6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3543" wp14:editId="75FD2C5E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40721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D40721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D40721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3A72D" wp14:editId="4021348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721" w:rsidRDefault="00D40721" w:rsidP="00D40721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D40721" w:rsidRDefault="00D40721" w:rsidP="00D40721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Текст раздела отчета 1.</w:t>
      </w:r>
    </w:p>
    <w:p w:rsidR="00D40721" w:rsidRPr="00D40721" w:rsidRDefault="00D40721" w:rsidP="00D407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40721" w:rsidRPr="00D40721" w:rsidRDefault="00D40721" w:rsidP="00D40721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D40721" w:rsidRPr="00D40721" w:rsidRDefault="00D40721" w:rsidP="00D40721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1,6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страниц с альбомной</w:t>
      </w:r>
      <w:r w:rsidRPr="00D40721">
        <w:rPr>
          <w:i/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1,6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2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40721">
        <w:rPr>
          <w:rFonts w:eastAsia="Calibri"/>
          <w:sz w:val="28"/>
          <w:szCs w:val="28"/>
          <w:lang w:val="ru-RU"/>
        </w:rPr>
        <w:t>шрифт</w:t>
      </w:r>
      <w:r w:rsidRPr="00D40721">
        <w:rPr>
          <w:rFonts w:eastAsia="Calibri"/>
          <w:sz w:val="28"/>
          <w:szCs w:val="28"/>
        </w:rPr>
        <w:t xml:space="preserve"> – Times New Roman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размер – 14 </w:t>
      </w:r>
      <w:r w:rsidRPr="00D40721">
        <w:rPr>
          <w:rFonts w:eastAsia="Calibri"/>
          <w:iCs/>
          <w:sz w:val="28"/>
          <w:szCs w:val="28"/>
          <w:lang w:val="ru-RU"/>
        </w:rPr>
        <w:t>п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начертание – обычное;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D40721">
        <w:rPr>
          <w:rFonts w:eastAsia="Calibri"/>
          <w:iCs/>
          <w:sz w:val="28"/>
          <w:szCs w:val="28"/>
          <w:lang w:val="ru-RU"/>
        </w:rPr>
        <w:t>1 см</w:t>
      </w:r>
      <w:r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D40721">
        <w:rPr>
          <w:i/>
          <w:sz w:val="28"/>
          <w:szCs w:val="28"/>
          <w:lang w:val="ru-RU" w:eastAsia="ru-RU"/>
        </w:rPr>
        <w:t>курсив</w:t>
      </w:r>
      <w:r w:rsidRPr="00D40721">
        <w:rPr>
          <w:sz w:val="28"/>
          <w:szCs w:val="28"/>
          <w:lang w:val="ru-RU" w:eastAsia="ru-RU"/>
        </w:rPr>
        <w:t xml:space="preserve">, </w:t>
      </w:r>
      <w:r w:rsidRPr="00D40721">
        <w:rPr>
          <w:b/>
          <w:sz w:val="28"/>
          <w:szCs w:val="28"/>
          <w:lang w:val="ru-RU" w:eastAsia="ru-RU"/>
        </w:rPr>
        <w:t>полужирное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Формулы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Equation</w:t>
      </w:r>
      <w:r w:rsidRPr="00D40721">
        <w:rPr>
          <w:sz w:val="28"/>
          <w:szCs w:val="28"/>
          <w:lang w:val="ru-RU" w:eastAsia="ru-RU"/>
        </w:rPr>
        <w:t xml:space="preserve"> 3.0 или 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MathType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Формулы могут размещаться: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внутри текста (небольшие, несложные и не имеющие самостоятельного значения), например:</w:t>
      </w:r>
    </w:p>
    <w:p w:rsidR="00D40721" w:rsidRPr="00D40721" w:rsidRDefault="00D40721" w:rsidP="003D14E6">
      <w:pPr>
        <w:ind w:firstLine="3600"/>
        <w:contextualSpacing/>
        <w:jc w:val="center"/>
        <w:rPr>
          <w:sz w:val="28"/>
          <w:lang w:val="ru-RU" w:eastAsia="ru-RU"/>
        </w:rPr>
      </w:pPr>
      <w:r w:rsidRPr="00D40721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76" r:id="rId15"/>
        </w:object>
      </w:r>
      <w:r w:rsidRPr="00D40721">
        <w:rPr>
          <w:sz w:val="28"/>
          <w:lang w:val="ru-RU" w:eastAsia="ru-RU"/>
        </w:rPr>
        <w:t xml:space="preserve">,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</w:t>
      </w:r>
      <w:r w:rsidRPr="00D40721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777" r:id="rId17"/>
        </w:object>
      </w:r>
      <w:r w:rsidRPr="00D40721">
        <w:rPr>
          <w:sz w:val="28"/>
          <w:lang w:val="ru-RU" w:eastAsia="ru-RU"/>
        </w:rPr>
        <w:t xml:space="preserve">,      </w:t>
      </w:r>
      <w:r w:rsidRPr="00D40721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778" r:id="rId19"/>
        </w:object>
      </w:r>
      <w:r w:rsidRPr="00D40721">
        <w:rPr>
          <w:sz w:val="28"/>
          <w:lang w:val="ru-RU" w:eastAsia="ru-RU"/>
        </w:rPr>
        <w:t xml:space="preserve">.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D40721">
        <w:rPr>
          <w:sz w:val="28"/>
          <w:szCs w:val="28"/>
          <w:lang w:val="ru-RU" w:eastAsia="ru-RU"/>
        </w:rPr>
        <w:br/>
        <w:t xml:space="preserve">другую: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D40721">
        <w:rPr>
          <w:rFonts w:eastAsia="Calibri"/>
          <w:sz w:val="28"/>
          <w:szCs w:val="28"/>
          <w:lang w:val="ru-RU"/>
        </w:rPr>
        <w:t>знаках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третью</w:t>
      </w:r>
      <w:r w:rsidRPr="00D40721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D40721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D40721" w:rsidRPr="00D40721" w:rsidRDefault="00D40721" w:rsidP="003D14E6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D40721">
        <w:rPr>
          <w:rFonts w:eastAsia="Calibri"/>
          <w:sz w:val="28"/>
          <w:szCs w:val="28"/>
          <w:lang w:val="ru-RU"/>
        </w:rPr>
        <w:t>перенос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D40721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D40721">
        <w:rPr>
          <w:rFonts w:eastAsia="Calibri"/>
          <w:sz w:val="28"/>
          <w:szCs w:val="28"/>
          <w:lang w:val="ru-RU"/>
        </w:rPr>
        <w:t>без двоеточия (или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D40721">
        <w:rPr>
          <w:rFonts w:eastAsia="Calibri"/>
          <w:sz w:val="28"/>
          <w:szCs w:val="28"/>
          <w:lang w:val="ru-RU"/>
        </w:rPr>
        <w:t>). Например: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                         </w:t>
      </w:r>
      <w:r w:rsidRPr="00D40721">
        <w:rPr>
          <w:position w:val="-22"/>
          <w:sz w:val="28"/>
          <w:lang w:val="ru-RU" w:eastAsia="ru-RU"/>
        </w:rPr>
        <w:object w:dxaOrig="1160" w:dyaOrig="999">
          <v:shape id="_x0000_i1028" type="#_x0000_t75" style="width:81.75pt;height:66pt" o:ole="" filled="t">
            <v:imagedata r:id="rId20" o:title=""/>
          </v:shape>
          <o:OLEObject Type="Embed" ProgID="Equation.3" ShapeID="_x0000_i1028" DrawAspect="Content" ObjectID="_1824619779" r:id="rId21"/>
        </w:object>
      </w:r>
      <w:r w:rsidRPr="00D40721">
        <w:rPr>
          <w:sz w:val="28"/>
          <w:lang w:val="ru-RU" w:eastAsia="ru-RU"/>
        </w:rPr>
        <w:t xml:space="preserve">,         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D40721" w:rsidRPr="00D40721" w:rsidRDefault="00D40721" w:rsidP="003D14E6">
      <w:pPr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где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D40721">
        <w:rPr>
          <w:i/>
          <w:sz w:val="28"/>
          <w:szCs w:val="28"/>
          <w:lang w:val="ru-RU" w:eastAsia="ru-RU"/>
        </w:rPr>
        <w:t xml:space="preserve">– </w:t>
      </w:r>
      <w:r w:rsidRPr="00D40721">
        <w:rPr>
          <w:sz w:val="28"/>
          <w:szCs w:val="28"/>
          <w:lang w:val="ru-RU" w:eastAsia="ru-RU"/>
        </w:rPr>
        <w:t xml:space="preserve">средняя стоимость товаров; </w:t>
      </w:r>
      <w:r w:rsidRPr="00D40721">
        <w:rPr>
          <w:sz w:val="28"/>
          <w:szCs w:val="28"/>
          <w:lang w:eastAsia="ru-RU"/>
        </w:rPr>
        <w:t>i</w:t>
      </w:r>
      <w:r w:rsidRPr="00D40721">
        <w:rPr>
          <w:sz w:val="28"/>
          <w:szCs w:val="28"/>
          <w:lang w:val="ru-RU" w:eastAsia="ru-RU"/>
        </w:rPr>
        <w:t xml:space="preserve"> – порядковый номер товара, </w:t>
      </w:r>
      <w:r w:rsidRPr="00D40721">
        <w:rPr>
          <w:i/>
          <w:sz w:val="28"/>
          <w:szCs w:val="28"/>
          <w:lang w:eastAsia="ru-RU"/>
        </w:rPr>
        <w:t>N</w:t>
      </w:r>
      <w:r w:rsidRPr="00D40721">
        <w:rPr>
          <w:sz w:val="28"/>
          <w:szCs w:val="28"/>
          <w:lang w:val="ru-RU" w:eastAsia="ru-RU"/>
        </w:rPr>
        <w:t xml:space="preserve"> – количество товаров;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eastAsia="ru-RU"/>
        </w:rPr>
        <w:t>i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– стоимость </w:t>
      </w:r>
      <w:r w:rsidRPr="00D40721">
        <w:rPr>
          <w:i/>
          <w:sz w:val="28"/>
          <w:szCs w:val="28"/>
          <w:lang w:eastAsia="ru-RU"/>
        </w:rPr>
        <w:t>i</w:t>
      </w:r>
      <w:r w:rsidR="00740069">
        <w:rPr>
          <w:sz w:val="28"/>
          <w:szCs w:val="28"/>
          <w:lang w:val="ru-RU" w:eastAsia="ru-RU"/>
        </w:rPr>
        <w:t>-го товара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Таблицы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D40721" w:rsidRPr="00D40721" w:rsidRDefault="00D40721" w:rsidP="003D14E6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D40721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D40721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D40721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D40721">
        <w:rPr>
          <w:sz w:val="28"/>
          <w:szCs w:val="28"/>
          <w:lang w:val="ru-RU" w:eastAsia="ru-RU"/>
        </w:rPr>
        <w:t>(если таблица не заканчивается) или «</w:t>
      </w:r>
      <w:r w:rsidRPr="00D40721">
        <w:rPr>
          <w:i/>
          <w:sz w:val="28"/>
          <w:szCs w:val="28"/>
          <w:lang w:val="ru-RU" w:eastAsia="ru-RU"/>
        </w:rPr>
        <w:t>Окончание табл. 4.1»</w:t>
      </w:r>
      <w:r w:rsidRPr="00D40721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D40721">
        <w:rPr>
          <w:iCs/>
          <w:sz w:val="28"/>
          <w:szCs w:val="28"/>
          <w:lang w:val="ru-RU" w:eastAsia="ru-RU"/>
        </w:rPr>
        <w:t>например</w:t>
      </w:r>
      <w:r w:rsidRPr="00D40721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D40721" w:rsidRPr="00D40721" w:rsidRDefault="00D40721" w:rsidP="00740069">
      <w:pPr>
        <w:contextualSpacing/>
        <w:rPr>
          <w:b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Таблица 4.1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–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Название таблицы</w:t>
      </w:r>
    </w:p>
    <w:p w:rsidR="00D40721" w:rsidRPr="00D40721" w:rsidRDefault="00D40721" w:rsidP="003D14E6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№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D40721" w:rsidRPr="00D40721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3D14E6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D40721" w:rsidRPr="00D40721" w:rsidRDefault="00D40721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D40721" w:rsidRPr="00D40721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абсолютной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B3"/>
            </w:r>
            <w:r w:rsidRPr="00D40721">
              <w:rPr>
                <w:sz w:val="24"/>
                <w:szCs w:val="24"/>
                <w:lang w:val="ru-RU" w:eastAsia="ru-RU"/>
              </w:rPr>
              <w:t>0,2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3E"/>
            </w:r>
            <w:r w:rsidRPr="00D4072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Иллюстрации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За 2020-2023 гг., тыс. руб.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Ссылки и сноски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D40721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D40721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D40721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pacing w:val="-6"/>
          <w:sz w:val="28"/>
          <w:szCs w:val="28"/>
          <w:lang w:val="ru-RU" w:eastAsia="ru-RU"/>
        </w:rPr>
        <w:t>Например:</w:t>
      </w:r>
      <w:r w:rsidRPr="00D40721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D40721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</w:t>
      </w:r>
      <w:r w:rsidRPr="00D40721">
        <w:rPr>
          <w:spacing w:val="-4"/>
          <w:sz w:val="28"/>
          <w:szCs w:val="28"/>
          <w:lang w:val="ru-RU" w:eastAsia="ru-RU"/>
        </w:rPr>
        <w:lastRenderedPageBreak/>
        <w:t>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D40721">
        <w:rPr>
          <w:i/>
          <w:iCs/>
          <w:sz w:val="28"/>
          <w:szCs w:val="28"/>
          <w:lang w:val="ru-RU" w:eastAsia="ru-RU"/>
        </w:rPr>
        <w:t>рис. 1.1; табл. 2.1; с. 105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D40721">
        <w:rPr>
          <w:rFonts w:eastAsia="Calibri"/>
          <w:i/>
          <w:sz w:val="28"/>
          <w:szCs w:val="28"/>
          <w:lang w:val="ru-RU"/>
        </w:rPr>
        <w:t>сносок</w:t>
      </w:r>
      <w:r w:rsidRPr="00D40721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D40721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Нумерация страниц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40721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Список источников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Отечественные и зарубежные издания (многотомные собрания сочинений, книги, монографии, брошюры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D40721" w:rsidRPr="00D40721" w:rsidRDefault="00D40721" w:rsidP="003D14E6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Приложения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D40721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40721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D40721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D40721" w:rsidRPr="00D40721" w:rsidRDefault="00D40721" w:rsidP="003D14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D40721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D40721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D40721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D40721">
        <w:rPr>
          <w:rFonts w:eastAsia="Calibri"/>
          <w:sz w:val="28"/>
          <w:szCs w:val="28"/>
          <w:lang w:val="ru-RU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D40721">
        <w:rPr>
          <w:rFonts w:eastAsia="Calibri"/>
          <w:b/>
          <w:sz w:val="28"/>
          <w:szCs w:val="28"/>
          <w:lang w:val="ru-RU"/>
        </w:rPr>
        <w:t>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3D14E6" w:rsidRDefault="00D40721" w:rsidP="003D14E6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br w:type="page"/>
      </w:r>
    </w:p>
    <w:p w:rsidR="008206C6" w:rsidRPr="009A7B5D" w:rsidRDefault="008206C6">
      <w:pPr>
        <w:rPr>
          <w:color w:val="000000"/>
          <w:sz w:val="28"/>
          <w:szCs w:val="28"/>
          <w:lang w:val="ru-RU"/>
        </w:rPr>
      </w:pPr>
    </w:p>
    <w:p w:rsidR="00C1518E" w:rsidRPr="00C0509F" w:rsidRDefault="00C1518E" w:rsidP="00C1518E">
      <w:pPr>
        <w:jc w:val="center"/>
        <w:rPr>
          <w:b/>
          <w:color w:val="000000"/>
          <w:sz w:val="32"/>
          <w:lang w:val="ru-RU"/>
        </w:rPr>
      </w:pPr>
      <w:r w:rsidRPr="009A7B5D">
        <w:rPr>
          <w:b/>
          <w:color w:val="000000"/>
          <w:sz w:val="32"/>
          <w:lang w:val="ru-RU"/>
        </w:rPr>
        <w:t xml:space="preserve">8. </w:t>
      </w:r>
      <w:r w:rsidR="00C0509F" w:rsidRPr="00C0509F">
        <w:rPr>
          <w:b/>
          <w:sz w:val="28"/>
          <w:szCs w:val="28"/>
          <w:lang w:val="ru-RU"/>
        </w:rPr>
        <w:t>ФОНД ОЦЕНОЧНЫХ СРЕДСТВ ДЛЯ ПРОВЕДЕНИЯ ПРОМЕЖУТОЧНОЙ АТТЕСТАЦИИ ОБУЧАЮЩИХСЯ ПО ПРАКТИКЕ</w:t>
      </w:r>
    </w:p>
    <w:p w:rsidR="001B2DA3" w:rsidRDefault="001B2DA3" w:rsidP="00CF7FAF">
      <w:pPr>
        <w:ind w:firstLine="709"/>
        <w:jc w:val="both"/>
        <w:rPr>
          <w:sz w:val="28"/>
          <w:lang w:val="ru-RU"/>
        </w:rPr>
      </w:pP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0509F" w:rsidRPr="00C0509F" w:rsidRDefault="00C0509F" w:rsidP="00C0509F">
      <w:pPr>
        <w:ind w:firstLine="708"/>
        <w:contextualSpacing/>
        <w:jc w:val="both"/>
        <w:rPr>
          <w:sz w:val="28"/>
          <w:szCs w:val="28"/>
          <w:lang w:val="ru-RU"/>
        </w:rPr>
      </w:pPr>
      <w:r w:rsidRPr="00C0509F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:rsidR="00D864F7" w:rsidRDefault="00D864F7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D195B" w:rsidRPr="00A61244" w:rsidRDefault="00BD195B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Ресурсы сети «Интернет»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7B03D0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A14161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A14161" w:rsidP="00CF7FA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BD195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BD195B" w:rsidRPr="00CF1D53" w:rsidRDefault="00BD195B" w:rsidP="00BD195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BD195B" w:rsidRPr="00CF1D53" w:rsidRDefault="00BD195B" w:rsidP="00BD195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BD195B" w:rsidRPr="007B03D0" w:rsidRDefault="00BD195B" w:rsidP="00BD195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247E22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A53A42" w:rsidRPr="007B03D0" w:rsidRDefault="00A53A4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A53A42" w:rsidRDefault="00A53A42" w:rsidP="00A53A42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10. </w:t>
      </w:r>
      <w:r w:rsidR="00C0509F" w:rsidRPr="00C0509F">
        <w:rPr>
          <w:b/>
          <w:sz w:val="28"/>
          <w:szCs w:val="28"/>
          <w:lang w:val="ru-RU"/>
        </w:rPr>
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</w:r>
    </w:p>
    <w:p w:rsidR="00C0509F" w:rsidRDefault="00C0509F" w:rsidP="00A53A42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50"/>
        <w:gridCol w:w="3260"/>
        <w:gridCol w:w="2126"/>
        <w:gridCol w:w="1950"/>
      </w:tblGrid>
      <w:tr w:rsidR="00C0509F" w:rsidRPr="003C45F7" w:rsidTr="00C0509F">
        <w:tc>
          <w:tcPr>
            <w:tcW w:w="486" w:type="dxa"/>
            <w:vMerge w:val="restart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Комплект лицензионного </w:t>
            </w:r>
            <w:r w:rsidRPr="00A76F83">
              <w:rPr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C0509F" w:rsidRPr="003C45F7" w:rsidTr="00C0509F">
        <w:tc>
          <w:tcPr>
            <w:tcW w:w="486" w:type="dxa"/>
            <w:vMerge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Архиватор 7z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Яндекс.Браузер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Яндекс.Диск</w:t>
            </w:r>
          </w:p>
        </w:tc>
      </w:tr>
      <w:tr w:rsidR="00C0509F" w:rsidRPr="003C45F7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PowerPoint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</w:tbl>
    <w:p w:rsidR="0030400E" w:rsidRPr="00161DB2" w:rsidRDefault="0030400E" w:rsidP="00331FCA">
      <w:pPr>
        <w:jc w:val="both"/>
        <w:rPr>
          <w:iCs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Pr="009D3E49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 xml:space="preserve">Учебная аудитория для групповых и </w:t>
            </w:r>
            <w:r w:rsidRPr="00DF624D">
              <w:rPr>
                <w:lang w:val="ru-RU" w:eastAsia="ru-RU"/>
              </w:rPr>
              <w:lastRenderedPageBreak/>
              <w:t>индивидуальных консультаций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lastRenderedPageBreak/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9C54CB" w:rsidRPr="00DF624D" w:rsidRDefault="009C54CB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C54CB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C54CB">
              <w:rPr>
                <w:lang w:val="ru-RU" w:eastAsia="ru-RU"/>
              </w:rPr>
              <w:t xml:space="preserve">. Чижовой «ЭЛЕКС-7».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9C54CB">
              <w:rPr>
                <w:lang w:val="ru-RU" w:eastAsia="ru-RU"/>
              </w:rPr>
              <w:t xml:space="preserve">Ареометры.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lastRenderedPageBreak/>
              <w:t>Эксикатор. Нитратомер Экотестер+ Импульс. Нитратомер Экотесте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№308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9C54CB">
              <w:rPr>
                <w:lang w:val="ru-RU" w:eastAsia="ru-RU"/>
              </w:rPr>
              <w:t>Измеритель деформации клейковины - ИДК-3М.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9C54CB">
              <w:rPr>
                <w:lang w:val="ru-RU" w:eastAsia="ru-RU"/>
              </w:rPr>
              <w:t>Термометр спиртовой.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9C54CB">
              <w:rPr>
                <w:lang w:val="ru-RU" w:eastAsia="ru-RU"/>
              </w:rPr>
              <w:t>Овоскоп для яиц ОН-10.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9C54CB" w:rsidRDefault="009C54CB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</w:t>
            </w:r>
            <w:r w:rsidRPr="00981D97">
              <w:rPr>
                <w:lang w:val="ru-RU" w:eastAsia="ru-RU"/>
              </w:rPr>
              <w:lastRenderedPageBreak/>
              <w:t xml:space="preserve">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9C54CB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9C54CB">
              <w:rPr>
                <w:lang w:val="ru-RU" w:eastAsia="ru-RU"/>
              </w:rPr>
              <w:t>Микрометр. Лупы 6 кратные.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427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 w:rsidRPr="009C54CB">
              <w:rPr>
                <w:lang w:val="ru-RU"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</w:pPr>
            <w:r w:rsidRPr="00DF624D"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D23E6F" w:rsidRDefault="00D23E6F" w:rsidP="0009078C">
      <w:pPr>
        <w:jc w:val="both"/>
        <w:rPr>
          <w:color w:val="000000"/>
          <w:sz w:val="28"/>
          <w:szCs w:val="28"/>
          <w:lang w:val="ru-RU"/>
        </w:rPr>
      </w:pPr>
    </w:p>
    <w:p w:rsidR="00CF7FAF" w:rsidRDefault="006A53B3" w:rsidP="00CF7FAF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>заключенными договорами на прохождение практики. Руководство практикой осуществляется преподавателями кафедры товароведения и экспертизы товаров и специалистами профильных организаций.</w:t>
      </w:r>
      <w:r w:rsidR="00024741" w:rsidRPr="007B03D0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CF7FAF">
      <w:pPr>
        <w:ind w:firstLine="709"/>
        <w:jc w:val="both"/>
        <w:rPr>
          <w:sz w:val="28"/>
          <w:szCs w:val="28"/>
          <w:lang w:val="ru-RU"/>
        </w:rPr>
      </w:pPr>
      <w:r w:rsidRPr="00A14161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D195B" w:rsidRPr="004A12ED" w:rsidRDefault="00BD195B" w:rsidP="00BD195B">
      <w:pPr>
        <w:ind w:firstLine="567"/>
        <w:jc w:val="both"/>
        <w:rPr>
          <w:sz w:val="28"/>
          <w:szCs w:val="28"/>
          <w:lang w:val="ru-RU"/>
        </w:rPr>
      </w:pPr>
      <w:bookmarkStart w:id="19" w:name="_Hlk91066133"/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BD195B" w:rsidRPr="00A14161" w:rsidRDefault="00BD195B" w:rsidP="00BD195B">
      <w:pPr>
        <w:ind w:firstLine="709"/>
        <w:jc w:val="both"/>
        <w:rPr>
          <w:iCs/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9"/>
    </w:p>
    <w:p w:rsidR="00D23E6F" w:rsidRPr="00A14161" w:rsidRDefault="00D23E6F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Default="00E33FC2" w:rsidP="00E33FC2">
      <w:pPr>
        <w:jc w:val="center"/>
        <w:rPr>
          <w:b/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3D14E6" w:rsidRPr="00A14161" w:rsidRDefault="003D14E6" w:rsidP="00E33FC2">
      <w:pPr>
        <w:jc w:val="center"/>
        <w:rPr>
          <w:iCs/>
          <w:sz w:val="28"/>
          <w:szCs w:val="28"/>
          <w:lang w:val="ru-RU"/>
        </w:rPr>
      </w:pP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740069" w:rsidRPr="003C45F7">
        <w:rPr>
          <w:sz w:val="28"/>
          <w:szCs w:val="28"/>
          <w:lang w:val="ru-RU"/>
        </w:rPr>
        <w:t xml:space="preserve">от 27 ноября 2024 года </w:t>
      </w:r>
      <w:bookmarkStart w:id="20" w:name="_Hlk91066410"/>
      <w:r w:rsidR="00740069" w:rsidRPr="003C45F7">
        <w:rPr>
          <w:sz w:val="28"/>
          <w:szCs w:val="28"/>
          <w:lang w:val="ru-RU"/>
        </w:rPr>
        <w:t>№</w:t>
      </w:r>
      <w:bookmarkEnd w:id="20"/>
      <w:r w:rsidR="00740069" w:rsidRPr="003C45F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3D14E6" w:rsidRPr="00056967" w:rsidRDefault="003D14E6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3D14E6" w:rsidRPr="00684E14" w:rsidRDefault="003D14E6" w:rsidP="003D14E6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lastRenderedPageBreak/>
        <w:t>Установочная конференция по практике проводится с обучающимися заочной формы обучения в последний день сессии.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3D14E6" w:rsidRPr="00056967" w:rsidRDefault="003D14E6" w:rsidP="003D14E6">
      <w:pPr>
        <w:numPr>
          <w:ilvl w:val="0"/>
          <w:numId w:val="11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1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3D14E6" w:rsidRPr="00626308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3D14E6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D40721" w:rsidRPr="00D40721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1"/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br w:type="page"/>
      </w:r>
    </w:p>
    <w:p w:rsidR="00024741" w:rsidRPr="00A14161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F839BC" w:rsidRPr="00A14161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A14161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A14161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14161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40721" w:rsidRDefault="00D40721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245C32" w:rsidRPr="00634806" w:rsidTr="00245C32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245C32" w:rsidRPr="00087A08" w:rsidRDefault="00245C32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FF7284" wp14:editId="1DD91875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45C32" w:rsidRPr="00087A08" w:rsidRDefault="00245C32" w:rsidP="003A177C">
            <w:pPr>
              <w:rPr>
                <w:rFonts w:eastAsia="Calibri"/>
                <w:b/>
              </w:rPr>
            </w:pPr>
          </w:p>
          <w:p w:rsidR="00245C32" w:rsidRPr="00245C32" w:rsidRDefault="00245C32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45C32" w:rsidRPr="00245C32" w:rsidRDefault="00245C32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45C32" w:rsidRPr="00087A08" w:rsidRDefault="00245C32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40721" w:rsidRPr="00D40721" w:rsidTr="00245C3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0721" w:rsidRPr="00D40721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36"/>
                      <w:lang w:val="ru-RU"/>
                    </w:rPr>
                  </w:pPr>
                  <w:r w:rsidRPr="00D40721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D40721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D40721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D40721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D40721" w:rsidRPr="00D40721" w:rsidRDefault="00D40721" w:rsidP="00D40721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3D14E6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D40721" w:rsidRPr="00D40721">
                    <w:rPr>
                      <w:sz w:val="28"/>
                      <w:lang w:val="ru-RU"/>
                    </w:rPr>
                    <w:t>_______ курса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(группа, шифр)</w:t>
                  </w:r>
                </w:p>
                <w:p w:rsidR="00D40721" w:rsidRPr="00D40721" w:rsidRDefault="00D40721" w:rsidP="00D40721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 xml:space="preserve">Новосибирск 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>20___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D40721" w:rsidRPr="00D40721" w:rsidRDefault="00D40721" w:rsidP="00D40721">
            <w:pPr>
              <w:rPr>
                <w:lang w:val="ru-RU"/>
              </w:rPr>
            </w:pPr>
          </w:p>
        </w:tc>
      </w:tr>
    </w:tbl>
    <w:p w:rsidR="00D40721" w:rsidRPr="00D40721" w:rsidRDefault="00D40721" w:rsidP="00D40721">
      <w:pPr>
        <w:spacing w:after="160" w:line="259" w:lineRule="auto"/>
        <w:rPr>
          <w:lang w:val="ru-RU"/>
        </w:rPr>
      </w:pPr>
    </w:p>
    <w:p w:rsidR="00D40721" w:rsidRPr="00D40721" w:rsidRDefault="00D40721" w:rsidP="00D40721">
      <w:pPr>
        <w:spacing w:after="160" w:line="259" w:lineRule="auto"/>
        <w:jc w:val="right"/>
        <w:rPr>
          <w:lang w:val="ru-RU"/>
        </w:rPr>
      </w:pPr>
    </w:p>
    <w:p w:rsidR="00653829" w:rsidRPr="00331FCA" w:rsidRDefault="00653829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653829" w:rsidRPr="00331FCA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D40721">
        <w:rPr>
          <w:spacing w:val="-5"/>
          <w:sz w:val="28"/>
          <w:szCs w:val="28"/>
          <w:lang w:val="ru-RU"/>
        </w:rPr>
        <w:t>2</w:t>
      </w:r>
    </w:p>
    <w:p w:rsidR="00D40721" w:rsidRPr="00D40721" w:rsidRDefault="00245C32" w:rsidP="00D4072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40721" w:rsidRPr="00D40721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40721" w:rsidRPr="00D40721" w:rsidRDefault="00D40721" w:rsidP="00D4072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40721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40721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40721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Кафедра </w:t>
      </w:r>
      <w:r w:rsidRPr="00D40721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D40721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2832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40721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40721" w:rsidRPr="003D14E6" w:rsidRDefault="00D40721" w:rsidP="003D14E6">
      <w:pPr>
        <w:widowControl w:val="0"/>
        <w:suppressAutoHyphens/>
        <w:ind w:left="3540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практики с ____________</w:t>
      </w:r>
      <w:r w:rsidRPr="00D40721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40721">
        <w:rPr>
          <w:rFonts w:eastAsia="Calibri"/>
          <w:sz w:val="22"/>
          <w:szCs w:val="22"/>
          <w:lang w:val="ru-RU"/>
        </w:rPr>
        <w:t>по ______________________20___ г.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40721" w:rsidRPr="00D40721" w:rsidRDefault="00D40721" w:rsidP="00D40721">
      <w:pPr>
        <w:numPr>
          <w:ilvl w:val="0"/>
          <w:numId w:val="15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40721" w:rsidRPr="00D40721" w:rsidRDefault="00D40721" w:rsidP="00D4072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40721" w:rsidRPr="00D40721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40721" w:rsidRPr="007400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7400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4072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4072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4072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D4072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  <w:r w:rsidRPr="00D40721">
        <w:rPr>
          <w:rFonts w:eastAsia="Calibri"/>
          <w:i/>
          <w:szCs w:val="21"/>
          <w:lang w:val="ru-RU"/>
        </w:rPr>
        <w:t>Примечание:</w:t>
      </w:r>
    </w:p>
    <w:p w:rsidR="00653829" w:rsidRPr="00331FCA" w:rsidRDefault="00D40721" w:rsidP="00D40721">
      <w:pPr>
        <w:suppressAutoHyphens/>
        <w:jc w:val="both"/>
        <w:rPr>
          <w:lang w:val="ru-RU"/>
        </w:rPr>
      </w:pPr>
      <w:r w:rsidRPr="00D40721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F839BC" w:rsidRDefault="005649EC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3</w:t>
      </w:r>
    </w:p>
    <w:p w:rsidR="003D14E6" w:rsidRPr="00281626" w:rsidRDefault="003D14E6" w:rsidP="003D14E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3D14E6" w:rsidRPr="00281626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3D14E6" w:rsidRPr="0059027E" w:rsidRDefault="003D14E6" w:rsidP="003D14E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3D14E6" w:rsidRPr="0059027E" w:rsidRDefault="003D14E6" w:rsidP="003D14E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3D14E6" w:rsidRPr="0059027E" w:rsidRDefault="003D14E6" w:rsidP="003D14E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3D14E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3D14E6" w:rsidRPr="0028162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D14E6" w:rsidRPr="003C45F7" w:rsidTr="00C73D70">
        <w:tc>
          <w:tcPr>
            <w:tcW w:w="808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D14E6" w:rsidRPr="007400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D14E6" w:rsidRPr="00281626" w:rsidTr="00C73D70">
        <w:tc>
          <w:tcPr>
            <w:tcW w:w="1275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3D14E6" w:rsidRPr="00281626" w:rsidTr="00C73D70">
        <w:tc>
          <w:tcPr>
            <w:tcW w:w="127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3D14E6" w:rsidRPr="00281626" w:rsidRDefault="003D14E6" w:rsidP="003D14E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3D14E6" w:rsidRPr="00281626" w:rsidRDefault="003D14E6" w:rsidP="003D14E6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3D14E6" w:rsidRPr="00281626" w:rsidRDefault="003D14E6" w:rsidP="003D14E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3D14E6" w:rsidRPr="00281626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D40721" w:rsidRPr="00D40721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40721" w:rsidRPr="00D40721" w:rsidRDefault="00D40721" w:rsidP="00D4072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  <w:r w:rsidRPr="00D40721">
        <w:rPr>
          <w:spacing w:val="-5"/>
          <w:sz w:val="28"/>
          <w:szCs w:val="28"/>
          <w:lang w:val="ru-RU"/>
        </w:rPr>
        <w:br w:type="page"/>
      </w:r>
    </w:p>
    <w:p w:rsidR="00D40721" w:rsidRDefault="00D40721" w:rsidP="00D40721">
      <w:pPr>
        <w:ind w:firstLine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6</w:t>
      </w:r>
    </w:p>
    <w:p w:rsidR="00D40721" w:rsidRDefault="00D40721" w:rsidP="00D40721">
      <w:pPr>
        <w:ind w:firstLine="360"/>
        <w:jc w:val="center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>отчета по преддипломной практике</w:t>
      </w:r>
    </w:p>
    <w:p w:rsidR="00D40721" w:rsidRDefault="00D40721" w:rsidP="00D40721">
      <w:pPr>
        <w:ind w:firstLine="709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В данном разделе практики выполняется анализ технико-экономических и/или финансовых показателей деятельности субъекта исследования. Примерные планы данного раздела приведены ниже:</w:t>
      </w:r>
    </w:p>
    <w:p w:rsidR="00D40721" w:rsidRPr="00331FCA" w:rsidRDefault="00D40721" w:rsidP="00D40721">
      <w:pPr>
        <w:ind w:firstLine="540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1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предприятия: </w:t>
      </w:r>
      <w:r w:rsidRPr="00331FCA">
        <w:rPr>
          <w:sz w:val="28"/>
          <w:szCs w:val="28"/>
          <w:lang w:val="ru-RU"/>
        </w:rPr>
        <w:t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предприятия и т.д.</w:t>
      </w:r>
    </w:p>
    <w:p w:rsidR="00D40721" w:rsidRPr="00331FCA" w:rsidRDefault="00D40721" w:rsidP="00D40721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предприятия: </w:t>
      </w:r>
      <w:r w:rsidRPr="00331FCA">
        <w:rPr>
          <w:sz w:val="28"/>
          <w:szCs w:val="28"/>
          <w:lang w:val="ru-RU"/>
        </w:rPr>
        <w:t xml:space="preserve">оценки эффективности использования площади торгового 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 предприятия по состоянию и т.д.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/организацией: 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</w:p>
    <w:p w:rsidR="00D40721" w:rsidRPr="00331FCA" w:rsidRDefault="00D40721" w:rsidP="00D40721">
      <w:pPr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Анализ материально-технической базы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Анализ основных технико-экономических и финансовых показателей деятельности предприятия /организации: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предприятий, </w:t>
      </w:r>
      <w:r w:rsidRPr="00331FCA">
        <w:rPr>
          <w:sz w:val="28"/>
          <w:szCs w:val="28"/>
          <w:lang w:val="ru-RU"/>
        </w:rPr>
        <w:t>находящихся на общей системе налогообложения - бухгалтерский баланс (форма № 1 по ОКУД); отчет о прибылях и убытках (форма № 2 по ОКУД); отчет о движении денежных средств (форма № 4 по ОКУД); приложение к бухгалтерскому балансу (форма № 5 по ОКУД); другие данные, получаемые ФСФО России при проведении мониторинга финансового состояния организаций;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индивидуальных предприятий и организаций, находящихся на специальных налоговых режимах (ЕНВД, ЕНУС, ЕСХН, ЕНУС-патент) - </w:t>
      </w:r>
      <w:r w:rsidRPr="00331FCA">
        <w:rPr>
          <w:sz w:val="28"/>
          <w:szCs w:val="28"/>
          <w:lang w:val="ru-RU"/>
        </w:rPr>
        <w:t>налоговые декларации за исследуемый период; данные о социальных отчислениях во внебюджетные фонды; внутренние формы отчетности (книга учета доходов и расходов, кассовая книга и т.д.) и др.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1.4. SWOT-анализ предприятия /организации:</w:t>
      </w:r>
      <w:r w:rsidRPr="00331FCA">
        <w:rPr>
          <w:sz w:val="28"/>
          <w:szCs w:val="28"/>
          <w:lang w:val="ru-RU"/>
        </w:rPr>
        <w:t xml:space="preserve"> внешняя среда (возможности и угрозы со стороны поставщиков, посредников, конкурентов, </w:t>
      </w:r>
      <w:r w:rsidRPr="00331FCA">
        <w:rPr>
          <w:sz w:val="28"/>
          <w:szCs w:val="28"/>
          <w:lang w:val="ru-RU"/>
        </w:rPr>
        <w:lastRenderedPageBreak/>
        <w:t>потребителей, контактных аудиторий); внутренняя среда (основные сильные и слабые стороны предприятия).</w:t>
      </w:r>
    </w:p>
    <w:p w:rsidR="00D40721" w:rsidRPr="00331FCA" w:rsidRDefault="00D40721" w:rsidP="00D40721">
      <w:pPr>
        <w:pStyle w:val="a4"/>
        <w:ind w:firstLine="567"/>
        <w:jc w:val="both"/>
        <w:rPr>
          <w:i/>
          <w:spacing w:val="-4"/>
          <w:sz w:val="28"/>
          <w:szCs w:val="28"/>
        </w:rPr>
      </w:pPr>
      <w:r w:rsidRPr="00331FCA">
        <w:rPr>
          <w:i/>
          <w:spacing w:val="-4"/>
          <w:sz w:val="28"/>
          <w:szCs w:val="28"/>
        </w:rPr>
        <w:t>Вариант 3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Раздел 1. </w:t>
      </w:r>
      <w:r w:rsidRPr="00331FCA">
        <w:rPr>
          <w:caps/>
          <w:spacing w:val="-4"/>
          <w:sz w:val="28"/>
          <w:szCs w:val="28"/>
        </w:rPr>
        <w:t xml:space="preserve">Управление качеством </w:t>
      </w:r>
      <w:r w:rsidRPr="00331FCA">
        <w:rPr>
          <w:spacing w:val="-4"/>
          <w:sz w:val="28"/>
          <w:szCs w:val="28"/>
        </w:rPr>
        <w:t>_______ (</w:t>
      </w:r>
      <w:r w:rsidRPr="00331FCA">
        <w:rPr>
          <w:i/>
          <w:spacing w:val="-4"/>
          <w:sz w:val="28"/>
          <w:szCs w:val="28"/>
        </w:rPr>
        <w:t>наименование потребительского товара</w:t>
      </w:r>
      <w:r w:rsidRPr="00331FCA">
        <w:rPr>
          <w:spacing w:val="-4"/>
          <w:sz w:val="28"/>
          <w:szCs w:val="28"/>
        </w:rPr>
        <w:t>) /</w:t>
      </w:r>
      <w:r w:rsidRPr="00331FCA">
        <w:rPr>
          <w:caps/>
          <w:spacing w:val="-4"/>
          <w:sz w:val="28"/>
          <w:szCs w:val="28"/>
        </w:rPr>
        <w:t>продукции /услуг на 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организации /предприятия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Исследование /анализ ассортимента товаров /продукции /услуг, реализуемых(ой) /производимых(ой) /оказываемых (ой) организацией /предприятием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Оценка уровня качества товаров /продукции /услуг, реализуемых(ой) /производимых(ой) /оказываемых(ой) организацией /предприятием (</w:t>
      </w:r>
      <w:r w:rsidRPr="00331FCA">
        <w:rPr>
          <w:sz w:val="28"/>
          <w:szCs w:val="28"/>
          <w:lang w:val="ru-RU"/>
        </w:rPr>
        <w:t>на основе одного из методов согласно ГОСТ 15467-79 «Управление качеством продукции. Основные понятия. Термины и определения»):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дифференциальным - метод оценки качества продукции, основанный на использовании единичных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комплексным - метод оценки качества продукции, основанный на использовании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смешанным - метод оценки качества продукции, основанный на одновременном использовании единичных 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статистическим - метод оценки качества продукции, при котором значения показателей качества продукции определяют с использованием правил математической статистики.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1.4. Исследование системы управления качеством товаров /продукции /услуг на </w:t>
      </w:r>
      <w:r w:rsidRPr="00331FCA">
        <w:rPr>
          <w:caps/>
          <w:spacing w:val="-4"/>
          <w:sz w:val="28"/>
          <w:szCs w:val="28"/>
        </w:rPr>
        <w:t>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 и затрат на ее обеспечение: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особенности функционирования системы качества - цели в области качества; методы реализации Политики в области качества; ответственность подразделений и должностных лиц предприятия /организации за выполнением работ по элементам системы качества; документы системы качества; элементы системы качества и др.; 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анализ состояния системы качества - показатели работы системы и их анализ; условия формирования качества продукции; анализ брака; затраты на качество; внешний и внутренний аудит; корректирующие и предупреждающие мероприятия и т.д.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Содержание данного раздела может быть скорректировано в зависимости от организационно-правовой формы бизнеса, масштабов его деятельности и используемой системы налогообложения, и согласовано с руководителем. В процессе аналитического исследования могут быть использованы комплексный, системный, функционально-стоимостной, сравнительный, выборочный, корреляционный виды анализа и т.д. Материалы анализа целесообразно представить в таблицах, схемах, графиках. Цитаты, статистически данные, используемые законодательные и нормативные документы должны иметь ссылки на источники информации. </w:t>
      </w:r>
      <w:r w:rsidRPr="00331FCA">
        <w:rPr>
          <w:sz w:val="28"/>
          <w:szCs w:val="28"/>
          <w:lang w:val="ru-RU"/>
        </w:rPr>
        <w:lastRenderedPageBreak/>
        <w:t>Раздел должен заканчиваться краткими выводами по результатам проведенного анализа, в которых содержится оценка деятельности анализируемого субъекта, положительные, отрицательные стороны работы и выявленные неиспользованные ресурсы. Общий объем данного раздела 25-35 %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В данном разделе приводятся данные прикладных (экспериментальных) исследований, согласно индивидуальному заданию.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Как правило, данный раздел начинается с подраздела «Материалы и методы исследований»: место проведения исследований; материалы исследований (наименование, место отбора и т.д.); методы исследований (методология их проведения подробно не излагается, а дается ссылка на ГОСТ или другой источник, где подробно описана методика; если метод /методика не имеет аналога (разрабатывается) или недостаточно известен, то в этом случае целесообразно дать его подробное описание в тексте или в приложении).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Далее приводятся результаты собственных исследований. Степень детализации описания отдельных вопросов определяется обучающимся и руководителем, с учетом того, что: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данные о свойствах товаров должны быть представлены в виде таблиц и/или графиков. Дублирование одних и тех же данных в виде табличного и графического материала не допускается;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таблице /рисунку должна предшествовать текстовая часть. После таблицы /рисунка следует критический анализ приведенных данных с подробным их обсуждением;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численные данные и физические константы, взятые из других источников, должны быть ясно обозначены, источники их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работа должна содержать анализ источников ошибок (случайных и систематических). Статистические методы оценки этих ошибок должны быть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физические величины следует приводить в Международной системе единиц (представленной в ГОСТ 8.417-2002 «Государственная система обеспечения единства измерений (ГСИ). Единицы величин»);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в самой работе расчеты показателей не приводятся.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Заканчивается раздел обобщением полученных в ходе его изложения результатов. Общий объем раздела 43-69 %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Примерные планы индивидуального задания практической части преддипломной практики приведены ниже (нумерация приведена с учетом первой части (экономико-организационная характеристика организации/предприятия)): </w:t>
      </w: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lastRenderedPageBreak/>
        <w:t>Вариант 1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Идентификация и товароведная оценка качества и безопасности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>2.1. Материалы и методы исследований: место проведения исследований; материалы исследований; методы исследований (</w:t>
      </w:r>
      <w:r w:rsidRPr="00331FCA">
        <w:rPr>
          <w:bCs/>
          <w:i/>
          <w:sz w:val="28"/>
          <w:szCs w:val="28"/>
          <w:lang w:val="ru-RU"/>
        </w:rPr>
        <w:t>по идентифицирующим признакам</w:t>
      </w:r>
      <w:r w:rsidRPr="00331FCA">
        <w:rPr>
          <w:bCs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Ассортиментная идентификация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 2. ФОРМИРОВАНИЕ И ОЦЕНКА ФУНКЦИОНАЛЬНЫХ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формирующих функциональные свойства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сырье, в том числе поставщиков; рецептура; технология производства, включая анализ оборудования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функциональных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совершенство выполнения основной функции; универсальность применения; совершенство выполнения вспомогательных функций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3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sz w:val="28"/>
          <w:szCs w:val="28"/>
          <w:lang w:val="ru-RU"/>
        </w:rPr>
        <w:t xml:space="preserve"> 2. </w:t>
      </w:r>
      <w:r w:rsidRPr="00331FCA">
        <w:rPr>
          <w:caps/>
          <w:sz w:val="28"/>
          <w:szCs w:val="28"/>
          <w:lang w:val="ru-RU"/>
        </w:rPr>
        <w:t>эффективность управления качеством _______</w:t>
      </w:r>
      <w:r w:rsidRPr="00331FCA">
        <w:rPr>
          <w:sz w:val="28"/>
          <w:szCs w:val="28"/>
          <w:lang w:val="ru-RU"/>
        </w:rPr>
        <w:t xml:space="preserve">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2.1. Совершенствование системы качества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оценка степени удовлетворенности потребителей; самооценка и пр.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2.2. Эффективность от совершенствования системы управления качеством ____-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на основе одного из методов: оценка по критериям национальных премий качества; сравнение показателей системы управления качеством с аналогичными показателями конкурентов; анализ динамики показателей во взаимоотношениях с внешними заказчиками (потребителями и поставщиками); анализ динамики показателей во взаимоотношениях внутренних заказчиков (отделов и цехов).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i/>
          <w:color w:val="000000"/>
          <w:spacing w:val="-4"/>
          <w:sz w:val="28"/>
          <w:szCs w:val="28"/>
          <w:lang w:val="ru-RU"/>
        </w:rPr>
        <w:t>Вариант 4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 2. </w:t>
      </w:r>
      <w:r w:rsidRPr="00331FCA">
        <w:rPr>
          <w:caps/>
          <w:color w:val="000000"/>
          <w:sz w:val="28"/>
          <w:szCs w:val="28"/>
          <w:lang w:val="ru-RU"/>
        </w:rPr>
        <w:t xml:space="preserve">Формирование и развитие потребительского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_____________ 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(город /область /регион)</w:t>
      </w:r>
    </w:p>
    <w:p w:rsidR="00D40721" w:rsidRPr="00331FCA" w:rsidRDefault="00D40721" w:rsidP="00D40721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331FCA">
        <w:rPr>
          <w:bCs/>
          <w:color w:val="000000"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lastRenderedPageBreak/>
        <w:t xml:space="preserve">2.2. Программа исследований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5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сохранение и оценка потребительских свойств</w:t>
      </w:r>
      <w:r w:rsidRPr="00331FCA">
        <w:rPr>
          <w:spacing w:val="-4"/>
          <w:sz w:val="28"/>
          <w:szCs w:val="28"/>
          <w:lang w:val="ru-RU"/>
        </w:rPr>
        <w:t xml:space="preserve">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 </w:t>
      </w:r>
      <w:r w:rsidRPr="00331FCA">
        <w:rPr>
          <w:caps/>
          <w:spacing w:val="-4"/>
          <w:sz w:val="28"/>
          <w:szCs w:val="28"/>
          <w:lang w:val="ru-RU"/>
        </w:rPr>
        <w:t>на этапах товародвижения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оказывающих влияние на сохранение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 на этапах товародвижения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6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Влияние технологии производства на формирование потребительских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Исследование влияния технологии производства на формирование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основного и дополнительного сырья; рецептурного состава; технологических факторов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7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оценка качества и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качества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п</w:t>
      </w:r>
      <w:r w:rsidRPr="00331FCA">
        <w:rPr>
          <w:sz w:val="28"/>
          <w:szCs w:val="28"/>
          <w:lang w:val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8</w:t>
      </w:r>
    </w:p>
    <w:p w:rsidR="00D40721" w:rsidRPr="00331FCA" w:rsidRDefault="00D40721" w:rsidP="00D40721">
      <w:pPr>
        <w:ind w:firstLine="709"/>
        <w:jc w:val="both"/>
        <w:rPr>
          <w:caps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>Формирование торгового</w:t>
      </w:r>
      <w:r w:rsidRPr="00331FCA">
        <w:rPr>
          <w:sz w:val="28"/>
          <w:szCs w:val="28"/>
          <w:lang w:val="ru-RU"/>
        </w:rPr>
        <w:t xml:space="preserve"> /</w:t>
      </w:r>
      <w:r w:rsidRPr="00331FCA">
        <w:rPr>
          <w:caps/>
          <w:sz w:val="28"/>
          <w:szCs w:val="28"/>
          <w:lang w:val="ru-RU"/>
        </w:rPr>
        <w:t>промышленного ассортимента товаров на предприятии /в организации и разработка рекомендаций по его совершенствованию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2.1. Анализ структуры ассортимента товаров на предприятии.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2.2. Расчет фактических показателей ассортимента: широты, полноты, устойчивости, обновления, обобщенного показателя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2.3. Анализ ассортимента на предприятии (или АВС-анализ или матрица совместных покупок или БКГ-матрица или метод Ансоффа и др.)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lastRenderedPageBreak/>
        <w:t>2.4. Анализ управления ассортиментом на основе категорийного менеджмента.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Обучающемуся предоставляется право выбора индивидуального задания, не представленного в примерной тематике, с необходимым обоснованием целесообразности его выполнения. В этом случае по согласованию с руководителем практики в план могут быть включены дополнительные пункты.</w:t>
      </w:r>
    </w:p>
    <w:p w:rsidR="00D40721" w:rsidRPr="00331FCA" w:rsidRDefault="00D40721" w:rsidP="00D40721">
      <w:pPr>
        <w:ind w:firstLine="567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исследования, источники из сети Интернет которыми пользовался обучающийся при выполнении работы. </w:t>
      </w: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36EED" w:rsidRPr="00CF7FAF" w:rsidRDefault="00D36EED" w:rsidP="00D36EED">
      <w:pPr>
        <w:jc w:val="both"/>
        <w:rPr>
          <w:sz w:val="24"/>
          <w:szCs w:val="24"/>
          <w:lang w:val="ru-RU"/>
        </w:rPr>
      </w:pPr>
    </w:p>
    <w:sectPr w:rsidR="00D36EED" w:rsidRPr="00C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91" w:rsidRDefault="007E2991" w:rsidP="00D40721">
      <w:r>
        <w:separator/>
      </w:r>
    </w:p>
  </w:endnote>
  <w:endnote w:type="continuationSeparator" w:id="0">
    <w:p w:rsidR="007E2991" w:rsidRDefault="007E2991" w:rsidP="00D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91" w:rsidRDefault="007E2991" w:rsidP="00D40721">
      <w:r>
        <w:separator/>
      </w:r>
    </w:p>
  </w:footnote>
  <w:footnote w:type="continuationSeparator" w:id="0">
    <w:p w:rsidR="007E2991" w:rsidRDefault="007E2991" w:rsidP="00D40721">
      <w:r>
        <w:continuationSeparator/>
      </w:r>
    </w:p>
  </w:footnote>
  <w:footnote w:id="1">
    <w:p w:rsidR="00D40721" w:rsidRDefault="00D40721" w:rsidP="00D40721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403A"/>
    <w:rsid w:val="00007175"/>
    <w:rsid w:val="00017D84"/>
    <w:rsid w:val="00024741"/>
    <w:rsid w:val="00040643"/>
    <w:rsid w:val="00055791"/>
    <w:rsid w:val="0009078C"/>
    <w:rsid w:val="0009364A"/>
    <w:rsid w:val="000962B7"/>
    <w:rsid w:val="000A26AC"/>
    <w:rsid w:val="000A5BEE"/>
    <w:rsid w:val="000B10A9"/>
    <w:rsid w:val="000B4E03"/>
    <w:rsid w:val="000B5461"/>
    <w:rsid w:val="000C1B03"/>
    <w:rsid w:val="000E6B01"/>
    <w:rsid w:val="0011160E"/>
    <w:rsid w:val="00112477"/>
    <w:rsid w:val="00117C83"/>
    <w:rsid w:val="001200E2"/>
    <w:rsid w:val="00154D10"/>
    <w:rsid w:val="001572CC"/>
    <w:rsid w:val="00161DB2"/>
    <w:rsid w:val="00197A39"/>
    <w:rsid w:val="001A1034"/>
    <w:rsid w:val="001B2DA3"/>
    <w:rsid w:val="001B38D5"/>
    <w:rsid w:val="001B6AE7"/>
    <w:rsid w:val="001B6B10"/>
    <w:rsid w:val="001B7B49"/>
    <w:rsid w:val="001D2695"/>
    <w:rsid w:val="001D532A"/>
    <w:rsid w:val="001D6491"/>
    <w:rsid w:val="001D79E1"/>
    <w:rsid w:val="001F2B6D"/>
    <w:rsid w:val="001F3409"/>
    <w:rsid w:val="002054CC"/>
    <w:rsid w:val="00205BA1"/>
    <w:rsid w:val="00207314"/>
    <w:rsid w:val="00217738"/>
    <w:rsid w:val="0023272B"/>
    <w:rsid w:val="00235B6B"/>
    <w:rsid w:val="00245C32"/>
    <w:rsid w:val="0024766B"/>
    <w:rsid w:val="00247E22"/>
    <w:rsid w:val="00247E43"/>
    <w:rsid w:val="002859EB"/>
    <w:rsid w:val="00293989"/>
    <w:rsid w:val="002B769F"/>
    <w:rsid w:val="002C37D3"/>
    <w:rsid w:val="002E3761"/>
    <w:rsid w:val="002E7D08"/>
    <w:rsid w:val="002F57F3"/>
    <w:rsid w:val="003036B1"/>
    <w:rsid w:val="0030400E"/>
    <w:rsid w:val="00317792"/>
    <w:rsid w:val="0032641C"/>
    <w:rsid w:val="00331FCA"/>
    <w:rsid w:val="003328C8"/>
    <w:rsid w:val="00353127"/>
    <w:rsid w:val="003569D8"/>
    <w:rsid w:val="0036689D"/>
    <w:rsid w:val="00374C24"/>
    <w:rsid w:val="00387A0E"/>
    <w:rsid w:val="003907AF"/>
    <w:rsid w:val="0039295D"/>
    <w:rsid w:val="003B645F"/>
    <w:rsid w:val="003C45F7"/>
    <w:rsid w:val="003D1184"/>
    <w:rsid w:val="003D14E6"/>
    <w:rsid w:val="003D6FA8"/>
    <w:rsid w:val="003E54EB"/>
    <w:rsid w:val="003E6673"/>
    <w:rsid w:val="003E7E48"/>
    <w:rsid w:val="003F58CA"/>
    <w:rsid w:val="004031E6"/>
    <w:rsid w:val="00407FA4"/>
    <w:rsid w:val="00412E11"/>
    <w:rsid w:val="004339B5"/>
    <w:rsid w:val="00447BE2"/>
    <w:rsid w:val="00453AA0"/>
    <w:rsid w:val="0045566C"/>
    <w:rsid w:val="00455CF6"/>
    <w:rsid w:val="00456116"/>
    <w:rsid w:val="00466012"/>
    <w:rsid w:val="004B1F38"/>
    <w:rsid w:val="004C2563"/>
    <w:rsid w:val="004C7538"/>
    <w:rsid w:val="004D55C0"/>
    <w:rsid w:val="004E6808"/>
    <w:rsid w:val="0052485E"/>
    <w:rsid w:val="0052521F"/>
    <w:rsid w:val="00545E38"/>
    <w:rsid w:val="00546D19"/>
    <w:rsid w:val="00560065"/>
    <w:rsid w:val="0056323C"/>
    <w:rsid w:val="005643C6"/>
    <w:rsid w:val="005646D9"/>
    <w:rsid w:val="00564916"/>
    <w:rsid w:val="005649EC"/>
    <w:rsid w:val="0058650B"/>
    <w:rsid w:val="005A6C36"/>
    <w:rsid w:val="005A74DA"/>
    <w:rsid w:val="005B0266"/>
    <w:rsid w:val="005B783F"/>
    <w:rsid w:val="005C73F0"/>
    <w:rsid w:val="005D224B"/>
    <w:rsid w:val="005D48ED"/>
    <w:rsid w:val="005D6B8A"/>
    <w:rsid w:val="005F23B8"/>
    <w:rsid w:val="00603556"/>
    <w:rsid w:val="00606DD6"/>
    <w:rsid w:val="00623C5D"/>
    <w:rsid w:val="00630FD1"/>
    <w:rsid w:val="00636440"/>
    <w:rsid w:val="00647C02"/>
    <w:rsid w:val="0065036F"/>
    <w:rsid w:val="00653829"/>
    <w:rsid w:val="00657FE0"/>
    <w:rsid w:val="0066369E"/>
    <w:rsid w:val="00663F34"/>
    <w:rsid w:val="0068456F"/>
    <w:rsid w:val="006A53B3"/>
    <w:rsid w:val="006C2DDC"/>
    <w:rsid w:val="006C314C"/>
    <w:rsid w:val="006D19D0"/>
    <w:rsid w:val="0070579F"/>
    <w:rsid w:val="0070785D"/>
    <w:rsid w:val="007149F8"/>
    <w:rsid w:val="00720FB3"/>
    <w:rsid w:val="007247AA"/>
    <w:rsid w:val="00735FE8"/>
    <w:rsid w:val="00740069"/>
    <w:rsid w:val="00755AD5"/>
    <w:rsid w:val="00757492"/>
    <w:rsid w:val="007700F8"/>
    <w:rsid w:val="007735FF"/>
    <w:rsid w:val="00785CA2"/>
    <w:rsid w:val="007B03D0"/>
    <w:rsid w:val="007B06A6"/>
    <w:rsid w:val="007B6739"/>
    <w:rsid w:val="007E2991"/>
    <w:rsid w:val="008206C6"/>
    <w:rsid w:val="00836CC5"/>
    <w:rsid w:val="0083788F"/>
    <w:rsid w:val="00842B13"/>
    <w:rsid w:val="00842E9F"/>
    <w:rsid w:val="0085321C"/>
    <w:rsid w:val="00870E2A"/>
    <w:rsid w:val="00875DCE"/>
    <w:rsid w:val="00877163"/>
    <w:rsid w:val="008913DF"/>
    <w:rsid w:val="0089194D"/>
    <w:rsid w:val="00893012"/>
    <w:rsid w:val="008A4F66"/>
    <w:rsid w:val="008D138D"/>
    <w:rsid w:val="008D1921"/>
    <w:rsid w:val="008D43DC"/>
    <w:rsid w:val="008D500B"/>
    <w:rsid w:val="008F0074"/>
    <w:rsid w:val="009046D5"/>
    <w:rsid w:val="009108B5"/>
    <w:rsid w:val="00916D33"/>
    <w:rsid w:val="00917A31"/>
    <w:rsid w:val="00917A54"/>
    <w:rsid w:val="00922D28"/>
    <w:rsid w:val="00940BBA"/>
    <w:rsid w:val="0094285B"/>
    <w:rsid w:val="00975430"/>
    <w:rsid w:val="00993253"/>
    <w:rsid w:val="009A09DA"/>
    <w:rsid w:val="009A7B5D"/>
    <w:rsid w:val="009B7306"/>
    <w:rsid w:val="009C54CB"/>
    <w:rsid w:val="009C5DB7"/>
    <w:rsid w:val="009D3E49"/>
    <w:rsid w:val="009E526B"/>
    <w:rsid w:val="009E540C"/>
    <w:rsid w:val="009E5CD1"/>
    <w:rsid w:val="009F2E4F"/>
    <w:rsid w:val="00A10035"/>
    <w:rsid w:val="00A124CA"/>
    <w:rsid w:val="00A14161"/>
    <w:rsid w:val="00A23354"/>
    <w:rsid w:val="00A53A42"/>
    <w:rsid w:val="00A61244"/>
    <w:rsid w:val="00A70DDB"/>
    <w:rsid w:val="00A80749"/>
    <w:rsid w:val="00A85FCC"/>
    <w:rsid w:val="00A921C0"/>
    <w:rsid w:val="00AA075A"/>
    <w:rsid w:val="00AA10D8"/>
    <w:rsid w:val="00AA2CB5"/>
    <w:rsid w:val="00AC38AA"/>
    <w:rsid w:val="00AC644E"/>
    <w:rsid w:val="00AE4C90"/>
    <w:rsid w:val="00AF024C"/>
    <w:rsid w:val="00B002C0"/>
    <w:rsid w:val="00B20C65"/>
    <w:rsid w:val="00B35C80"/>
    <w:rsid w:val="00B423BE"/>
    <w:rsid w:val="00B6706A"/>
    <w:rsid w:val="00B728D3"/>
    <w:rsid w:val="00B90A76"/>
    <w:rsid w:val="00B9180D"/>
    <w:rsid w:val="00B9780F"/>
    <w:rsid w:val="00BA33E7"/>
    <w:rsid w:val="00BC187A"/>
    <w:rsid w:val="00BC3553"/>
    <w:rsid w:val="00BC6440"/>
    <w:rsid w:val="00BD195B"/>
    <w:rsid w:val="00BD568A"/>
    <w:rsid w:val="00BE0E36"/>
    <w:rsid w:val="00C047D5"/>
    <w:rsid w:val="00C0509F"/>
    <w:rsid w:val="00C071D6"/>
    <w:rsid w:val="00C1518E"/>
    <w:rsid w:val="00C220FB"/>
    <w:rsid w:val="00C22FC3"/>
    <w:rsid w:val="00C248B5"/>
    <w:rsid w:val="00C4793F"/>
    <w:rsid w:val="00C554BD"/>
    <w:rsid w:val="00C577F5"/>
    <w:rsid w:val="00C63692"/>
    <w:rsid w:val="00C80E61"/>
    <w:rsid w:val="00CA5221"/>
    <w:rsid w:val="00CA64F6"/>
    <w:rsid w:val="00CB2AC5"/>
    <w:rsid w:val="00CB5563"/>
    <w:rsid w:val="00CB5EF3"/>
    <w:rsid w:val="00CC32C8"/>
    <w:rsid w:val="00CD5768"/>
    <w:rsid w:val="00CD5B8E"/>
    <w:rsid w:val="00CF7FAF"/>
    <w:rsid w:val="00D23E6F"/>
    <w:rsid w:val="00D36EED"/>
    <w:rsid w:val="00D40721"/>
    <w:rsid w:val="00D5142E"/>
    <w:rsid w:val="00D52285"/>
    <w:rsid w:val="00D62C20"/>
    <w:rsid w:val="00D73CE7"/>
    <w:rsid w:val="00D864F7"/>
    <w:rsid w:val="00DA7A2C"/>
    <w:rsid w:val="00DD1F49"/>
    <w:rsid w:val="00E0230A"/>
    <w:rsid w:val="00E05C4A"/>
    <w:rsid w:val="00E24B9D"/>
    <w:rsid w:val="00E25DEB"/>
    <w:rsid w:val="00E33FC2"/>
    <w:rsid w:val="00E44941"/>
    <w:rsid w:val="00E748EF"/>
    <w:rsid w:val="00E75DE1"/>
    <w:rsid w:val="00E94F55"/>
    <w:rsid w:val="00E96406"/>
    <w:rsid w:val="00E9705D"/>
    <w:rsid w:val="00EA1F79"/>
    <w:rsid w:val="00EE051F"/>
    <w:rsid w:val="00EE53AD"/>
    <w:rsid w:val="00EF4F02"/>
    <w:rsid w:val="00F05346"/>
    <w:rsid w:val="00F10AD2"/>
    <w:rsid w:val="00F1373B"/>
    <w:rsid w:val="00F40C91"/>
    <w:rsid w:val="00F43EE8"/>
    <w:rsid w:val="00F603F6"/>
    <w:rsid w:val="00F839BC"/>
    <w:rsid w:val="00F943FE"/>
    <w:rsid w:val="00F9452D"/>
    <w:rsid w:val="00F95F5B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9179-3058-4FE7-AA7A-7D069D1DF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8EA46-1DE7-452D-BE72-2405DA0B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A508C-2A39-438A-95B7-DB111965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9D467-B4CC-4F35-81AF-88C39662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12211</TotalTime>
  <Pages>42</Pages>
  <Words>12960</Words>
  <Characters>73878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224</cp:revision>
  <cp:lastPrinted>2023-07-13T13:50:00Z</cp:lastPrinted>
  <dcterms:created xsi:type="dcterms:W3CDTF">2018-12-22T02:33:00Z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